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szCs w:val="21"/>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2</w:t>
      </w:r>
      <w:r>
        <w:rPr>
          <w:rFonts w:hint="eastAsia" w:ascii="黑体" w:hAnsi="黑体" w:eastAsia="黑体" w:cs="黑体"/>
          <w:sz w:val="32"/>
          <w:szCs w:val="32"/>
        </w:rPr>
        <w:t>：</w:t>
      </w:r>
      <w:r>
        <w:rPr>
          <w:rFonts w:ascii="新宋体" w:hAnsi="新宋体" w:eastAsia="新宋体" w:cs="宋体"/>
          <w:b/>
          <w:bCs/>
          <w:sz w:val="32"/>
          <w:szCs w:val="32"/>
        </w:rPr>
        <w:t xml:space="preserve">            </w:t>
      </w:r>
      <w:r>
        <w:rPr>
          <w:rFonts w:hint="eastAsia" w:ascii="新宋体" w:hAnsi="新宋体" w:eastAsia="新宋体" w:cs="宋体"/>
          <w:b/>
          <w:bCs/>
          <w:sz w:val="32"/>
          <w:szCs w:val="32"/>
          <w:lang w:val="en-US" w:eastAsia="zh-CN"/>
        </w:rPr>
        <w:t xml:space="preserve">     </w:t>
      </w:r>
      <w:r>
        <w:rPr>
          <w:rFonts w:hint="eastAsia" w:ascii="宋体" w:hAnsi="宋体" w:eastAsia="新宋体"/>
          <w:b/>
          <w:szCs w:val="21"/>
          <w:lang w:eastAsia="zh-CN"/>
        </w:rPr>
        <w:t>一</w:t>
      </w:r>
      <w:r>
        <w:rPr>
          <w:rFonts w:hint="eastAsia" w:ascii="宋体" w:hAnsi="宋体"/>
          <w:b/>
          <w:szCs w:val="21"/>
        </w:rPr>
        <w:t>、采购清单</w:t>
      </w:r>
    </w:p>
    <w:tbl>
      <w:tblPr>
        <w:tblStyle w:val="14"/>
        <w:tblW w:w="80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715"/>
        <w:gridCol w:w="1231"/>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56" w:type="dxa"/>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序号</w:t>
            </w:r>
          </w:p>
        </w:tc>
        <w:tc>
          <w:tcPr>
            <w:tcW w:w="4715" w:type="dxa"/>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名称</w:t>
            </w:r>
          </w:p>
        </w:tc>
        <w:tc>
          <w:tcPr>
            <w:tcW w:w="1231" w:type="dxa"/>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数量</w:t>
            </w:r>
          </w:p>
        </w:tc>
        <w:tc>
          <w:tcPr>
            <w:tcW w:w="1116" w:type="dxa"/>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5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4715"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86英寸交互式平板</w:t>
            </w:r>
          </w:p>
        </w:tc>
        <w:tc>
          <w:tcPr>
            <w:tcW w:w="1231"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111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5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4715"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55英寸交互式平板</w:t>
            </w:r>
          </w:p>
        </w:tc>
        <w:tc>
          <w:tcPr>
            <w:tcW w:w="1231"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111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5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4715"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分组屏支架</w:t>
            </w:r>
          </w:p>
        </w:tc>
        <w:tc>
          <w:tcPr>
            <w:tcW w:w="1231"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111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5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4715"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多媒体智能讲台</w:t>
            </w:r>
          </w:p>
        </w:tc>
        <w:tc>
          <w:tcPr>
            <w:tcW w:w="1231"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11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5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4715"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无线展台</w:t>
            </w:r>
          </w:p>
        </w:tc>
        <w:tc>
          <w:tcPr>
            <w:tcW w:w="1231"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11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5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w:t>
            </w:r>
          </w:p>
        </w:tc>
        <w:tc>
          <w:tcPr>
            <w:tcW w:w="4715"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汇聚交换机</w:t>
            </w:r>
          </w:p>
        </w:tc>
        <w:tc>
          <w:tcPr>
            <w:tcW w:w="1231"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11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5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w:t>
            </w:r>
          </w:p>
        </w:tc>
        <w:tc>
          <w:tcPr>
            <w:tcW w:w="4715"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无线路由器</w:t>
            </w:r>
          </w:p>
        </w:tc>
        <w:tc>
          <w:tcPr>
            <w:tcW w:w="1231"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11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5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w:t>
            </w:r>
          </w:p>
        </w:tc>
        <w:tc>
          <w:tcPr>
            <w:tcW w:w="4715"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功率放大器</w:t>
            </w:r>
          </w:p>
        </w:tc>
        <w:tc>
          <w:tcPr>
            <w:tcW w:w="1231"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11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5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w:t>
            </w:r>
          </w:p>
        </w:tc>
        <w:tc>
          <w:tcPr>
            <w:tcW w:w="4715"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无线话筒（一手持一头戴）系统</w:t>
            </w:r>
          </w:p>
        </w:tc>
        <w:tc>
          <w:tcPr>
            <w:tcW w:w="1231"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11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5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4715"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音箱</w:t>
            </w:r>
          </w:p>
        </w:tc>
        <w:tc>
          <w:tcPr>
            <w:tcW w:w="1231"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111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5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11</w:t>
            </w:r>
          </w:p>
        </w:tc>
        <w:tc>
          <w:tcPr>
            <w:tcW w:w="4715"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探究型桌椅</w:t>
            </w:r>
          </w:p>
        </w:tc>
        <w:tc>
          <w:tcPr>
            <w:tcW w:w="1231"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w:t>
            </w:r>
          </w:p>
        </w:tc>
        <w:tc>
          <w:tcPr>
            <w:tcW w:w="111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5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12</w:t>
            </w:r>
          </w:p>
        </w:tc>
        <w:tc>
          <w:tcPr>
            <w:tcW w:w="4715"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空调</w:t>
            </w:r>
          </w:p>
        </w:tc>
        <w:tc>
          <w:tcPr>
            <w:tcW w:w="1231"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2</w:t>
            </w:r>
          </w:p>
        </w:tc>
        <w:tc>
          <w:tcPr>
            <w:tcW w:w="111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5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13</w:t>
            </w:r>
          </w:p>
        </w:tc>
        <w:tc>
          <w:tcPr>
            <w:tcW w:w="4715"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可折叠椅子</w:t>
            </w:r>
          </w:p>
        </w:tc>
        <w:tc>
          <w:tcPr>
            <w:tcW w:w="1231"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30</w:t>
            </w:r>
          </w:p>
        </w:tc>
        <w:tc>
          <w:tcPr>
            <w:tcW w:w="111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5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14</w:t>
            </w:r>
          </w:p>
        </w:tc>
        <w:tc>
          <w:tcPr>
            <w:tcW w:w="4715"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多媒体机柜</w:t>
            </w:r>
          </w:p>
        </w:tc>
        <w:tc>
          <w:tcPr>
            <w:tcW w:w="1231"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11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56" w:type="dxa"/>
            <w:shd w:val="clear" w:color="auto" w:fill="auto"/>
            <w:vAlign w:val="center"/>
          </w:tcPr>
          <w:p>
            <w:pPr>
              <w:widowControl/>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15</w:t>
            </w:r>
          </w:p>
        </w:tc>
        <w:tc>
          <w:tcPr>
            <w:tcW w:w="4715" w:type="dxa"/>
            <w:shd w:val="clear" w:color="auto" w:fill="auto"/>
            <w:vAlign w:val="center"/>
          </w:tcPr>
          <w:p>
            <w:pPr>
              <w:widowControl/>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翻页笔</w:t>
            </w:r>
          </w:p>
        </w:tc>
        <w:tc>
          <w:tcPr>
            <w:tcW w:w="1231" w:type="dxa"/>
            <w:shd w:val="clear" w:color="auto" w:fill="auto"/>
            <w:vAlign w:val="center"/>
          </w:tcPr>
          <w:p>
            <w:pPr>
              <w:widowControl/>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1116" w:type="dxa"/>
            <w:shd w:val="clear" w:color="auto" w:fill="auto"/>
            <w:vAlign w:val="center"/>
          </w:tcPr>
          <w:p>
            <w:pPr>
              <w:widowControl/>
              <w:jc w:val="center"/>
              <w:rPr>
                <w:rFonts w:hint="eastAsia"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95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16</w:t>
            </w:r>
          </w:p>
        </w:tc>
        <w:tc>
          <w:tcPr>
            <w:tcW w:w="4715"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装修、系统集成</w:t>
            </w:r>
          </w:p>
        </w:tc>
        <w:tc>
          <w:tcPr>
            <w:tcW w:w="1231"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w:t>
            </w:r>
          </w:p>
        </w:tc>
        <w:tc>
          <w:tcPr>
            <w:tcW w:w="1116" w:type="dxa"/>
            <w:shd w:val="clear" w:color="auto" w:fill="auto"/>
            <w:vAlign w:val="center"/>
          </w:tcPr>
          <w:p>
            <w:pPr>
              <w:widowControl/>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项</w:t>
            </w:r>
          </w:p>
        </w:tc>
      </w:tr>
    </w:tbl>
    <w:p>
      <w:pPr>
        <w:rPr>
          <w:rFonts w:ascii="宋体" w:hAnsi="宋体" w:cs="宋体"/>
          <w:b/>
          <w:bCs/>
        </w:rPr>
        <w:sectPr>
          <w:headerReference r:id="rId3" w:type="default"/>
          <w:footerReference r:id="rId4" w:type="default"/>
          <w:footerReference r:id="rId5" w:type="even"/>
          <w:pgSz w:w="11906" w:h="16838"/>
          <w:pgMar w:top="1588" w:right="1588" w:bottom="1588" w:left="1701" w:header="851" w:footer="1077" w:gutter="0"/>
          <w:cols w:space="720" w:num="1"/>
          <w:docGrid w:type="lines" w:linePitch="312" w:charSpace="0"/>
        </w:sectPr>
      </w:pPr>
    </w:p>
    <w:p>
      <w:pPr>
        <w:snapToGrid w:val="0"/>
        <w:spacing w:line="460" w:lineRule="exact"/>
        <w:jc w:val="center"/>
        <w:rPr>
          <w:rFonts w:hint="eastAsia" w:ascii="宋体" w:hAnsi="宋体"/>
          <w:b/>
          <w:szCs w:val="21"/>
        </w:rPr>
      </w:pPr>
      <w:r>
        <w:rPr>
          <w:rFonts w:hint="eastAsia" w:ascii="宋体" w:hAnsi="宋体"/>
          <w:b/>
          <w:szCs w:val="21"/>
          <w:lang w:eastAsia="zh-CN"/>
        </w:rPr>
        <w:t>二</w:t>
      </w:r>
      <w:r>
        <w:rPr>
          <w:rFonts w:hint="eastAsia" w:ascii="宋体" w:hAnsi="宋体"/>
          <w:b/>
          <w:szCs w:val="21"/>
        </w:rPr>
        <w:t>、技术需求</w:t>
      </w:r>
    </w:p>
    <w:tbl>
      <w:tblPr>
        <w:tblStyle w:val="14"/>
        <w:tblW w:w="90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824"/>
        <w:gridCol w:w="6432"/>
        <w:gridCol w:w="567"/>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atLeast"/>
          <w:jc w:val="center"/>
        </w:trPr>
        <w:tc>
          <w:tcPr>
            <w:tcW w:w="707" w:type="dxa"/>
            <w:vAlign w:val="center"/>
          </w:tcPr>
          <w:p>
            <w:pPr>
              <w:jc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序号</w:t>
            </w:r>
          </w:p>
        </w:tc>
        <w:tc>
          <w:tcPr>
            <w:tcW w:w="824" w:type="dxa"/>
            <w:vAlign w:val="center"/>
          </w:tcPr>
          <w:p>
            <w:pPr>
              <w:jc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设备名称</w:t>
            </w:r>
          </w:p>
        </w:tc>
        <w:tc>
          <w:tcPr>
            <w:tcW w:w="6432" w:type="dxa"/>
            <w:vAlign w:val="center"/>
          </w:tcPr>
          <w:p>
            <w:pPr>
              <w:jc w:val="center"/>
              <w:rPr>
                <w:rFonts w:cs="宋体" w:asciiTheme="minorEastAsia" w:hAnsiTheme="minorEastAsia" w:eastAsiaTheme="minorEastAsia"/>
                <w:b/>
                <w:color w:val="000000"/>
                <w:szCs w:val="21"/>
              </w:rPr>
            </w:pPr>
            <w:r>
              <w:rPr>
                <w:rFonts w:hint="eastAsia" w:cs="宋体" w:asciiTheme="minorEastAsia" w:hAnsiTheme="minorEastAsia" w:eastAsiaTheme="minorEastAsia"/>
                <w:b/>
                <w:bCs/>
                <w:szCs w:val="21"/>
              </w:rPr>
              <w:t>主要技术参数及要求</w:t>
            </w:r>
          </w:p>
        </w:tc>
        <w:tc>
          <w:tcPr>
            <w:tcW w:w="567" w:type="dxa"/>
            <w:tcBorders>
              <w:bottom w:val="single" w:color="auto" w:sz="4" w:space="0"/>
            </w:tcBorders>
            <w:vAlign w:val="center"/>
          </w:tcPr>
          <w:p>
            <w:pPr>
              <w:jc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数量</w:t>
            </w:r>
          </w:p>
        </w:tc>
        <w:tc>
          <w:tcPr>
            <w:tcW w:w="567" w:type="dxa"/>
            <w:vAlign w:val="center"/>
          </w:tcPr>
          <w:p>
            <w:pPr>
              <w:jc w:val="center"/>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4" w:hRule="atLeast"/>
          <w:jc w:val="center"/>
        </w:trPr>
        <w:tc>
          <w:tcPr>
            <w:tcW w:w="707"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824" w:type="dxa"/>
            <w:vAlign w:val="bottom"/>
          </w:tcPr>
          <w:p>
            <w:pPr>
              <w:widowControl/>
              <w:jc w:val="both"/>
              <w:textAlignment w:val="bottom"/>
              <w:rPr>
                <w:rFonts w:cs="等线" w:asciiTheme="minorEastAsia" w:hAnsiTheme="minorEastAsia" w:eastAsiaTheme="minorEastAsia"/>
                <w:color w:val="000000"/>
                <w:szCs w:val="21"/>
              </w:rPr>
            </w:pPr>
            <w:r>
              <w:rPr>
                <w:rFonts w:cs="等线" w:asciiTheme="minorEastAsia" w:hAnsiTheme="minorEastAsia" w:eastAsiaTheme="minorEastAsia"/>
                <w:color w:val="000000"/>
                <w:kern w:val="0"/>
                <w:szCs w:val="21"/>
                <w:lang w:bidi="ar"/>
              </w:rPr>
              <w:t>86英寸交互式平板一体机</w:t>
            </w:r>
          </w:p>
        </w:tc>
        <w:tc>
          <w:tcPr>
            <w:tcW w:w="6432" w:type="dxa"/>
          </w:tcPr>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一、整体设计</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1、整机屏幕采用86英寸 LED 液晶屏，显示比例16:9，具备防眩光效果；屏幕显示灰度分辨等级达到128灰阶以上；</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2、采用铝合金面框（拒绝使用非金属边框,防止材质老化变形）；触控要求：内置红外多点触控技术；支持10点触摸；</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3、整机具备双系统，OPS电脑系统及安卓嵌入式系统；</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4、整机具有减滤蓝光功能，可通过前置物理功能按键一键启用减滤蓝光模式；</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★5、设备支持通过前置按键一键启动录屏功能，可将屏幕中显示的课件、音频等内容与老师人声同步录制，方便制作教学视频；</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6、整机内置无线网卡；前面板具有主页、菜单、返回、音量、电源（集成电视、电脑统一开关控制及节能）基本功能按键；</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7、输入端子:≥1路VGA；≥1路Audio；≥1路AV；≥1路YPbPr；≥2路HDMI；≥1路TV RF；≥2路USB,至少一路可随通道自动切换，方便外接其他设备时在任意通道均可使用；≥1路Line in；≥1路RS232接口；≥1路RJ45；输出端子：≥1路耳机；≥1路同轴输出；≥1路Touch USB out；</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8、设备支持DBX音效，支持用户在菜单中开启/关闭DBX-TV中总恒音、总绚音、总环音的功能。</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二、功能要求</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1、整机电视开关、电脑开关和节能待机键三合一；</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★2、内置无线传屏接收器，无需外接接收部件，无线传屏发射器与整机匹配后即可实现传屏功能，方便用户使用；</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3、在PC系统出现异常或需要清除PC数据时，可插入带激活文件的U盘，在嵌入式系统的设置界面中启动PC一键还原功能，将PC系统恢复至出厂状态；</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三．嵌入式系统参数：</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1、提供4.4以上版本安卓系统，在该系统下可实现白板书写、PPT课件播放、多媒体播放、网页浏览，与内置/外接电脑后形成双系统冗余备份；</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能，可锁定屏幕、按键及遥控器，可自定义解锁密码；</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★2、整机处于任意通道下，可调用互动课堂功能；</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★3、内置非独立外扩展的拾音麦克风，拾音距离至少3米，方便录制老师人声（提供第三方检测机构的检测报告扫描件或影印件）；</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四.ops电脑模块</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1、采用按压式卡扣，无需工具即可快速拆卸电脑模块；</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2、处理器：Intel CORE I5或以上；内存：8G DDR3笔记本内存或以上配置；硬盘：256G或以上固态硬盘配置；</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3、具有独立非外扩展的视频输出接口：HDMI 1个或以上，  DP或Mini DP 1个或以上；具有独立非外扩展的电脑USB接口：电脑上至少6个USB接口；</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★4、所投产品（电脑模块）符合中华人民共和国无线电管理规定和技术标准，响应文件中须提供无线电发射设备型号核准证扫描件或影印件；</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五、辅助教学工具助手</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1、无需打开其他任何软件，播放PPT时即可支持将课件及板书内容直接生成二维码分享，且扫码后支持在手机端生成二维码进行再次分享，支持点赞；支持发送课件链接至邮箱，方便教师下载保存课件板书内容；</w:t>
            </w:r>
          </w:p>
          <w:p>
            <w:pPr>
              <w:jc w:val="left"/>
              <w:rPr>
                <w:rFonts w:hint="eastAsia" w:cs="宋体" w:asciiTheme="minorEastAsia" w:hAnsiTheme="minorEastAsia" w:eastAsiaTheme="minorEastAsia"/>
                <w:color w:val="000000"/>
                <w:szCs w:val="21"/>
              </w:rPr>
            </w:pPr>
            <w:r>
              <w:rPr>
                <w:rFonts w:hint="eastAsia" w:asciiTheme="minorEastAsia" w:hAnsiTheme="minorEastAsia" w:eastAsiaTheme="minorEastAsia"/>
                <w:color w:val="000000"/>
                <w:szCs w:val="21"/>
              </w:rPr>
              <w:t>★2、响应文件中提供PPT工具软件著作权登记证书扫描件或影印件。</w:t>
            </w:r>
          </w:p>
        </w:tc>
        <w:tc>
          <w:tcPr>
            <w:tcW w:w="567" w:type="dxa"/>
            <w:vAlign w:val="center"/>
          </w:tcPr>
          <w:p>
            <w:pPr>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2</w:t>
            </w:r>
          </w:p>
        </w:tc>
        <w:tc>
          <w:tcPr>
            <w:tcW w:w="567"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707"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2</w:t>
            </w:r>
          </w:p>
        </w:tc>
        <w:tc>
          <w:tcPr>
            <w:tcW w:w="824" w:type="dxa"/>
            <w:vAlign w:val="bottom"/>
          </w:tcPr>
          <w:p>
            <w:pPr>
              <w:widowControl/>
              <w:jc w:val="both"/>
              <w:textAlignment w:val="bottom"/>
              <w:rPr>
                <w:rFonts w:cs="宋体" w:asciiTheme="minorEastAsia" w:hAnsiTheme="minorEastAsia" w:eastAsiaTheme="minorEastAsia"/>
                <w:szCs w:val="21"/>
              </w:rPr>
            </w:pPr>
            <w:r>
              <w:rPr>
                <w:rFonts w:hint="eastAsia" w:cs="等线" w:asciiTheme="minorEastAsia" w:hAnsiTheme="minorEastAsia" w:eastAsiaTheme="minorEastAsia"/>
                <w:color w:val="000000"/>
                <w:kern w:val="0"/>
                <w:szCs w:val="21"/>
                <w:lang w:bidi="ar"/>
              </w:rPr>
              <w:t>55</w:t>
            </w:r>
            <w:r>
              <w:rPr>
                <w:rFonts w:cs="等线" w:asciiTheme="minorEastAsia" w:hAnsiTheme="minorEastAsia" w:eastAsiaTheme="minorEastAsia"/>
                <w:color w:val="000000"/>
                <w:kern w:val="0"/>
                <w:szCs w:val="21"/>
                <w:lang w:bidi="ar"/>
              </w:rPr>
              <w:t>英寸交互式平板一体机</w:t>
            </w:r>
          </w:p>
        </w:tc>
        <w:tc>
          <w:tcPr>
            <w:tcW w:w="6432" w:type="dxa"/>
            <w:vAlign w:val="center"/>
          </w:tcPr>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一、整体设计</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1、整机屏幕采用55英寸 LED 液晶屏，显示比例16:9，具备防眩光效果；屏幕显示灰度分辨等级达到128灰阶以上；</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2、采用铝合金面框（拒绝使用非金属边框,防止材质老化变形）；触控要求：内置红外多点触控技术；支持10点触摸；</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3、整机具备双系统，OPS电脑系统及安卓嵌入式系统；</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4、整机具有减滤蓝光功能，可通过前置物理功能按键一键启用减滤蓝光模式;</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★5、设备支持通过前置按键一键启动录屏功能，可将屏幕中显示的课件、音频等内容与老师人声同步录制，方便制作教学视频；</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6、整机内置无线网卡；前面板具有主页、菜单、返回、音量、电源（集成电视、电脑统一开关控制及节能）基本功能按键；</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7、输入端子:≥1路VGA；≥1路Audio；≥1路AV；≥1路YPbPr；≥2路HDMI；≥1路TV RF；≥2路USB,至少一路可随通道自动切换，方便外接其他设备时在任意通道均可使用；≥1路Line in；≥1路RS232接口；≥1路RJ45；输出端子：≥1路耳机；≥1路同轴输出；≥1路Touch USB out；</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8、设备支持DBX音效，支持用户在菜单中开启/关闭DBX-TV中总恒音、总绚音、总环音的功能；</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二、功能要求</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1、整机电视开关、电脑开关和节能待机键三合一；</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★2、内置无线传屏接收器，无需外接接收部件，无线传屏发射器与整机匹配后即可实现传屏功能，方便用户使用；</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3、在PC系统出现异常或需要清除PC数据时，可插入带激活文件的U盘，在嵌入式系统的设置界面中启动PC一键还原功能，将PC系统恢复至出厂状态；</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三、嵌入式系统参数：</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1、提供4.4以上版本安卓系统，在该系统下可实现白板书写、PPT课件播放、多媒体播放、网页浏览，与内置/外接电脑后形成双系统冗余备份；</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能，可锁定屏幕、按键及遥控器，可自定义解锁密码，响应文件中须提供第三方有权检测机构出具的检测报告扫描件或影印件；</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★2、整机处于任意通道下，可调用互动课堂功能；</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★3、内置非独立外扩展的拾音麦克风，拾音距离至少3米，方便录制老师人声（提供第三方检测机构的检测报告扫描件或影印件）；</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四、ops电脑模块</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1、采用按压式卡扣，无需工具即可快速拆卸电脑模块；</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2、处理器：Intel CORE I5或以上；内存：8G DDR3笔记本内存或以上配置；硬盘：256G或以上固态硬盘配置；</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3、具有独立非外扩展的视频输出接口：HDMI 1个或以上，  DP或Mini DP 1个或以上；具有独立非外扩展的电脑USB接口：电脑上至少6个USB接口；</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★4、所投产品（电脑模块）符合中华人民共和国无线电管理规定和技术标准，响应文件中须提供无线电发射设备型号核准证扫描件或影印件；</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五、辅助教学工具助手</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1、无需打开其他任何软件，播放PPT时即可支持将课件及板书内容直接生成二维码分享，且扫码后支持在手机端生成二维码进行再次分享，支持点赞；支持发送课件链接至邮箱，方便教师下载保存课件板书内容；</w:t>
            </w:r>
          </w:p>
          <w:p>
            <w:pPr>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★2、响应文件中提供PPT工具软件著作权登记证书扫描件或影印件。</w:t>
            </w:r>
          </w:p>
        </w:tc>
        <w:tc>
          <w:tcPr>
            <w:tcW w:w="567" w:type="dxa"/>
            <w:vAlign w:val="center"/>
          </w:tcPr>
          <w:p>
            <w:pPr>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4</w:t>
            </w:r>
          </w:p>
        </w:tc>
        <w:tc>
          <w:tcPr>
            <w:tcW w:w="567" w:type="dxa"/>
            <w:vAlign w:val="center"/>
          </w:tcPr>
          <w:p>
            <w:pPr>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707"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3</w:t>
            </w:r>
          </w:p>
        </w:tc>
        <w:tc>
          <w:tcPr>
            <w:tcW w:w="824" w:type="dxa"/>
            <w:vAlign w:val="center"/>
          </w:tcPr>
          <w:p>
            <w:pPr>
              <w:rPr>
                <w:rFonts w:cs="宋体" w:asciiTheme="minorEastAsia" w:hAnsiTheme="minorEastAsia" w:eastAsiaTheme="minorEastAsia"/>
                <w:szCs w:val="21"/>
              </w:rPr>
            </w:pPr>
            <w:r>
              <w:rPr>
                <w:rFonts w:hint="eastAsia" w:asciiTheme="minorEastAsia" w:hAnsiTheme="minorEastAsia" w:eastAsiaTheme="minorEastAsia"/>
                <w:szCs w:val="21"/>
              </w:rPr>
              <w:t>分组屏支架</w:t>
            </w:r>
          </w:p>
        </w:tc>
        <w:tc>
          <w:tcPr>
            <w:tcW w:w="6432" w:type="dxa"/>
            <w:vAlign w:val="center"/>
          </w:tcPr>
          <w:p>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钢制，最大承重80KG，支持55-70英寸一体机，根据教室结构采用移动或者固定式</w:t>
            </w:r>
          </w:p>
        </w:tc>
        <w:tc>
          <w:tcPr>
            <w:tcW w:w="567"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4</w:t>
            </w:r>
          </w:p>
        </w:tc>
        <w:tc>
          <w:tcPr>
            <w:tcW w:w="567"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707"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4</w:t>
            </w:r>
          </w:p>
        </w:tc>
        <w:tc>
          <w:tcPr>
            <w:tcW w:w="824" w:type="dxa"/>
            <w:vAlign w:val="center"/>
          </w:tcPr>
          <w:p>
            <w:pPr>
              <w:widowControl/>
              <w:spacing w:line="276" w:lineRule="auto"/>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多媒体智能讲台</w:t>
            </w:r>
          </w:p>
        </w:tc>
        <w:tc>
          <w:tcPr>
            <w:tcW w:w="6432" w:type="dxa"/>
            <w:vAlign w:val="center"/>
          </w:tcPr>
          <w:p>
            <w:pPr>
              <w:pStyle w:val="24"/>
              <w:widowControl/>
              <w:tabs>
                <w:tab w:val="left" w:pos="425"/>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1.钢木结合设计，1.2mm-1.5mm厚的冷轧钢板桌体，老师接触位置为木质桌面，桌面防静电。</w:t>
            </w:r>
          </w:p>
          <w:p>
            <w:pPr>
              <w:pStyle w:val="24"/>
              <w:widowControl/>
              <w:tabs>
                <w:tab w:val="left" w:pos="425"/>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2.讲台尺寸设计为长×宽×高：825mm*600mm*990mm，最高点不遮挡学员视线，不占用教室空间。根据人体力学设计，讲台桌面高度825mm，合适老师放置教学用品。</w:t>
            </w:r>
          </w:p>
          <w:p>
            <w:pPr>
              <w:pStyle w:val="24"/>
              <w:widowControl/>
              <w:tabs>
                <w:tab w:val="left" w:pos="425"/>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3.讲台桌面平整，全封闭设计，整体外观流线型设计，无菱角处理，受到冲击时不易倾倒，保护师生安全。</w:t>
            </w:r>
          </w:p>
          <w:p>
            <w:pPr>
              <w:pStyle w:val="24"/>
              <w:widowControl/>
              <w:tabs>
                <w:tab w:val="left" w:pos="425"/>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4.讲台设置21.5寸电容触摸屏幕，覆盖3mm钢化玻璃，保护屏幕安全。屏幕融合在讲台中，无突出边角撞伤学员，无法在没有工具的情况下拆除。同时支持10点触控对一体机操作，同步显示一体机画面，老师讲课无需转身背对学员，提高授课效率。</w:t>
            </w:r>
          </w:p>
          <w:p>
            <w:pPr>
              <w:pStyle w:val="24"/>
              <w:widowControl/>
              <w:tabs>
                <w:tab w:val="left" w:pos="425"/>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5.讲台设置快捷按键，方便老师对一体机进行一键关机、关屏开屏、音量加减、任务窗、返回桌面等快捷控制。</w:t>
            </w:r>
          </w:p>
          <w:p>
            <w:pPr>
              <w:pStyle w:val="24"/>
              <w:widowControl/>
              <w:tabs>
                <w:tab w:val="left" w:pos="425"/>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6.讲台快捷按键设置有自定义按键，可通过软件设置选择自定义按键功能。包括一键启动白板、一键降低屏幕亮度到20%、一键护眼模式、一键启动视频展台、一键关闭当前windows程序五个选项。</w:t>
            </w:r>
          </w:p>
          <w:p>
            <w:pPr>
              <w:pStyle w:val="24"/>
              <w:widowControl/>
              <w:tabs>
                <w:tab w:val="left" w:pos="425"/>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7.控制讲桌设置带滑轨抽拉式抽屉，抽屉带锁，抽屉内可放置黑板檫、环保书写笔、无线鼠标、无线键盘、无线麦克风等常用教具，同时抽屉内设置三个USB快速充电口（5V/2A），对接入设备进行充电，方便学校对教学用品的管理及维护。即使讲台关机后，依然可持续提供4小时连续充电。</w:t>
            </w:r>
          </w:p>
          <w:p>
            <w:pPr>
              <w:pStyle w:val="24"/>
              <w:widowControl/>
              <w:tabs>
                <w:tab w:val="left" w:pos="425"/>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8.讲台桌面位置设置有3个USB口，供老师接入键盘、鼠标、U盘等设备，USB位置不易受到撞击，有效保护设备安全。</w:t>
            </w:r>
          </w:p>
          <w:p>
            <w:pPr>
              <w:pStyle w:val="24"/>
              <w:widowControl/>
              <w:tabs>
                <w:tab w:val="left" w:pos="425"/>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9.讲台设置有220V三相电源接口，方便老师接入笔记本电脑等设备。</w:t>
            </w:r>
          </w:p>
          <w:p>
            <w:pPr>
              <w:pStyle w:val="24"/>
              <w:widowControl/>
              <w:tabs>
                <w:tab w:val="left" w:pos="425"/>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10.讲台隐蔽位置设计有标准机柜1U尺寸的接口，方便用户放置控制设备。在不需要放置控制设备的时候可收起。</w:t>
            </w:r>
          </w:p>
          <w:p>
            <w:pPr>
              <w:pStyle w:val="24"/>
              <w:widowControl/>
              <w:tabs>
                <w:tab w:val="left" w:pos="425"/>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★11.为保证兼容性及稳定性，智能讲台需与交互一体机为同一品牌厂家。</w:t>
            </w:r>
          </w:p>
          <w:p>
            <w:pPr>
              <w:pStyle w:val="24"/>
              <w:widowControl/>
              <w:tabs>
                <w:tab w:val="left" w:pos="425"/>
              </w:tabs>
              <w:spacing w:line="276" w:lineRule="auto"/>
              <w:ind w:firstLine="0" w:firstLineChars="0"/>
              <w:jc w:val="left"/>
              <w:rPr>
                <w:rFonts w:asciiTheme="minorEastAsia" w:hAnsiTheme="minorEastAsia" w:eastAsiaTheme="minorEastAsia"/>
              </w:rPr>
            </w:pPr>
            <w:r>
              <w:rPr>
                <w:rFonts w:hint="eastAsia" w:asciiTheme="minorEastAsia" w:hAnsiTheme="minorEastAsia" w:eastAsiaTheme="minorEastAsia"/>
              </w:rPr>
              <w:t>★12.智能讲台具有国家认可的CCC与节能证书，符合国家安全规定。</w:t>
            </w:r>
          </w:p>
        </w:tc>
        <w:tc>
          <w:tcPr>
            <w:tcW w:w="567" w:type="dxa"/>
            <w:vAlign w:val="center"/>
          </w:tcPr>
          <w:p>
            <w:pPr>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1</w:t>
            </w:r>
          </w:p>
        </w:tc>
        <w:tc>
          <w:tcPr>
            <w:tcW w:w="567"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70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5</w:t>
            </w:r>
          </w:p>
        </w:tc>
        <w:tc>
          <w:tcPr>
            <w:tcW w:w="824" w:type="dxa"/>
            <w:vAlign w:val="center"/>
          </w:tcPr>
          <w:p>
            <w:pPr>
              <w:widowControl/>
              <w:spacing w:line="276" w:lineRule="auto"/>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无线展台</w:t>
            </w:r>
          </w:p>
        </w:tc>
        <w:tc>
          <w:tcPr>
            <w:tcW w:w="6432" w:type="dxa"/>
            <w:vAlign w:val="center"/>
          </w:tcPr>
          <w:p>
            <w:pPr>
              <w:pStyle w:val="24"/>
              <w:widowControl/>
              <w:tabs>
                <w:tab w:val="left" w:pos="3150"/>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1.可移动无线展台，可灵活的放置在讲台、课桌上，也可固定在三脚架上。无需布线，方便老师、学生展台作业、实验过程、演示。</w:t>
            </w:r>
          </w:p>
          <w:p>
            <w:pPr>
              <w:pStyle w:val="24"/>
              <w:widowControl/>
              <w:tabs>
                <w:tab w:val="left" w:pos="3150"/>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★2.摄像头臂上下可在0-90°任意位置弯折悬停、前后可180°旋转、主机和支架可分离机构设计，能俯拍作业，水平拍摄，手持拍摄，适应各种教学场景。</w:t>
            </w:r>
          </w:p>
          <w:p>
            <w:pPr>
              <w:pStyle w:val="24"/>
              <w:widowControl/>
              <w:tabs>
                <w:tab w:val="left" w:pos="3150"/>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3.俯拍情况下，拍摄角度可覆盖A3画幅，方便一次性展示更多的内容。</w:t>
            </w:r>
          </w:p>
          <w:p>
            <w:pPr>
              <w:pStyle w:val="24"/>
              <w:widowControl/>
              <w:tabs>
                <w:tab w:val="left" w:pos="3150"/>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★4.自带屏幕，可将拍摄的范围和画面清晰实时的呈现，方便老师或者学生调整拍摄角度和预览。</w:t>
            </w:r>
          </w:p>
          <w:p>
            <w:pPr>
              <w:pStyle w:val="24"/>
              <w:widowControl/>
              <w:tabs>
                <w:tab w:val="left" w:pos="3150"/>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5.支持5G wifi无线传输，保证传输的稳定性。</w:t>
            </w:r>
          </w:p>
          <w:p>
            <w:pPr>
              <w:pStyle w:val="24"/>
              <w:widowControl/>
              <w:tabs>
                <w:tab w:val="left" w:pos="3150"/>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6.支持最多四台无线展台画面实时对比，方便进行演示、对比教学。</w:t>
            </w:r>
          </w:p>
          <w:p>
            <w:pPr>
              <w:pStyle w:val="24"/>
              <w:widowControl/>
              <w:tabs>
                <w:tab w:val="left" w:pos="3150"/>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7.采用1300W像素自动对焦摄像头，支持4K超高清实时视频流传输。</w:t>
            </w:r>
          </w:p>
          <w:p>
            <w:pPr>
              <w:pStyle w:val="24"/>
              <w:widowControl/>
              <w:tabs>
                <w:tab w:val="left" w:pos="3150"/>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8.采用PDAF相位对焦技术，自动对焦速度低于300ms，减少对焦过程时间，提高教学效率。</w:t>
            </w:r>
          </w:p>
          <w:p>
            <w:pPr>
              <w:pStyle w:val="24"/>
              <w:widowControl/>
              <w:tabs>
                <w:tab w:val="left" w:pos="3150"/>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★9.支持通过双击大屏画面任意位置，即时改变对焦位置，可对立体物体的局部进行精确对焦。</w:t>
            </w:r>
          </w:p>
          <w:p>
            <w:pPr>
              <w:pStyle w:val="24"/>
              <w:widowControl/>
              <w:tabs>
                <w:tab w:val="left" w:pos="3150"/>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10. 自带电池，支持4小时不间断工作使用，采用type C充电接口，支持5V2A快速充电。</w:t>
            </w:r>
          </w:p>
          <w:p>
            <w:pPr>
              <w:pStyle w:val="24"/>
              <w:widowControl/>
              <w:tabs>
                <w:tab w:val="left" w:pos="3150"/>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★11.支持二维码扫描快速加入网络、绑定无线网络，保证多台使用时实施的便利性。</w:t>
            </w:r>
          </w:p>
          <w:p>
            <w:pPr>
              <w:pStyle w:val="24"/>
              <w:widowControl/>
              <w:tabs>
                <w:tab w:val="left" w:pos="3150"/>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12. 展台机身上有四个按键，实现开关机、模式切换、画面旋转、启动功能，可实现一键启动展台画面、画面旋转、拍照、录像等功能，同时也支持在展台软件上进行同样的操作。</w:t>
            </w:r>
          </w:p>
          <w:p>
            <w:pPr>
              <w:pStyle w:val="24"/>
              <w:widowControl/>
              <w:tabs>
                <w:tab w:val="left" w:pos="3150"/>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★13.为保证兼容性及稳定性，视频展台需与交互智能平板一体机为同一品牌厂家。</w:t>
            </w:r>
          </w:p>
        </w:tc>
        <w:tc>
          <w:tcPr>
            <w:tcW w:w="56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567" w:type="dxa"/>
            <w:vAlign w:val="center"/>
          </w:tcPr>
          <w:p>
            <w:pPr>
              <w:rPr>
                <w:rFonts w:hint="eastAsia"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707" w:type="dxa"/>
            <w:vAlign w:val="center"/>
          </w:tcPr>
          <w:p>
            <w:pPr>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6</w:t>
            </w:r>
          </w:p>
        </w:tc>
        <w:tc>
          <w:tcPr>
            <w:tcW w:w="824" w:type="dxa"/>
            <w:vAlign w:val="bottom"/>
          </w:tcPr>
          <w:p>
            <w:pPr>
              <w:widowControl/>
              <w:jc w:val="center"/>
              <w:textAlignment w:val="bottom"/>
              <w:rPr>
                <w:rFonts w:hint="eastAsia" w:cs="等线" w:asciiTheme="minorEastAsia" w:hAnsiTheme="minorEastAsia" w:eastAsiaTheme="minorEastAsia"/>
                <w:color w:val="000000"/>
                <w:szCs w:val="21"/>
              </w:rPr>
            </w:pPr>
            <w:r>
              <w:rPr>
                <w:rFonts w:cs="等线" w:asciiTheme="minorEastAsia" w:hAnsiTheme="minorEastAsia" w:eastAsiaTheme="minorEastAsia"/>
                <w:color w:val="000000"/>
                <w:kern w:val="0"/>
                <w:szCs w:val="21"/>
                <w:lang w:bidi="ar"/>
              </w:rPr>
              <w:t>汇聚交换机</w:t>
            </w:r>
          </w:p>
        </w:tc>
        <w:tc>
          <w:tcPr>
            <w:tcW w:w="6432" w:type="dxa"/>
            <w:vAlign w:val="center"/>
          </w:tcPr>
          <w:p>
            <w:pPr>
              <w:pStyle w:val="24"/>
              <w:widowControl/>
              <w:tabs>
                <w:tab w:val="left" w:pos="425"/>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1.配置设备的10/100/1000T以太网端口≥24，SPF千兆光口≥2个；</w:t>
            </w:r>
          </w:p>
          <w:p>
            <w:pPr>
              <w:pStyle w:val="24"/>
              <w:widowControl/>
              <w:tabs>
                <w:tab w:val="left" w:pos="425"/>
              </w:tabs>
              <w:spacing w:line="276" w:lineRule="auto"/>
              <w:ind w:firstLine="0" w:firstLineChars="0"/>
              <w:jc w:val="left"/>
              <w:rPr>
                <w:rFonts w:hint="eastAsia" w:asciiTheme="minorEastAsia" w:hAnsiTheme="minorEastAsia" w:eastAsiaTheme="minorEastAsia"/>
              </w:rPr>
            </w:pPr>
            <w:r>
              <w:rPr>
                <w:rFonts w:hint="eastAsia" w:asciiTheme="minorEastAsia" w:hAnsiTheme="minorEastAsia" w:eastAsiaTheme="minorEastAsia"/>
              </w:rPr>
              <w:t>2.设备交换容量≥250Gbps，包转发率≥50Mpps；</w:t>
            </w:r>
          </w:p>
          <w:p>
            <w:pPr>
              <w:pStyle w:val="24"/>
              <w:widowControl/>
              <w:tabs>
                <w:tab w:val="left" w:pos="425"/>
              </w:tabs>
              <w:spacing w:line="276" w:lineRule="auto"/>
              <w:ind w:firstLine="0" w:firstLineChars="0"/>
              <w:jc w:val="left"/>
              <w:rPr>
                <w:rFonts w:asciiTheme="minorEastAsia" w:hAnsiTheme="minorEastAsia" w:eastAsiaTheme="minorEastAsia"/>
              </w:rPr>
            </w:pPr>
            <w:r>
              <w:rPr>
                <w:rFonts w:hint="eastAsia" w:asciiTheme="minorEastAsia" w:hAnsiTheme="minorEastAsia" w:eastAsiaTheme="minorEastAsia"/>
              </w:rPr>
              <w:t>3.支持静态路由、OSPF等路由，支持802.1Q、支持SNMP网络管理。</w:t>
            </w:r>
          </w:p>
        </w:tc>
        <w:tc>
          <w:tcPr>
            <w:tcW w:w="567" w:type="dxa"/>
            <w:vAlign w:val="center"/>
          </w:tcPr>
          <w:p>
            <w:pPr>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1</w:t>
            </w:r>
          </w:p>
        </w:tc>
        <w:tc>
          <w:tcPr>
            <w:tcW w:w="567"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707" w:type="dxa"/>
            <w:vAlign w:val="center"/>
          </w:tcPr>
          <w:p>
            <w:pPr>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7</w:t>
            </w:r>
          </w:p>
        </w:tc>
        <w:tc>
          <w:tcPr>
            <w:tcW w:w="824"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无线路由器</w:t>
            </w:r>
          </w:p>
        </w:tc>
        <w:tc>
          <w:tcPr>
            <w:tcW w:w="6432" w:type="dxa"/>
          </w:tcPr>
          <w:p>
            <w:pPr>
              <w:rPr>
                <w:rFonts w:hint="eastAsia" w:asciiTheme="minorEastAsia" w:hAnsiTheme="minorEastAsia" w:eastAsiaTheme="minorEastAsia"/>
                <w:color w:val="000000"/>
                <w:szCs w:val="21"/>
              </w:rPr>
            </w:pPr>
          </w:p>
          <w:p>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内置双频硬件智能天线，可同时在线的用户数量大于100，支持2.4、5GHz。</w:t>
            </w:r>
          </w:p>
        </w:tc>
        <w:tc>
          <w:tcPr>
            <w:tcW w:w="567"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w:t>
            </w:r>
          </w:p>
        </w:tc>
        <w:tc>
          <w:tcPr>
            <w:tcW w:w="567"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707" w:type="dxa"/>
            <w:vAlign w:val="center"/>
          </w:tcPr>
          <w:p>
            <w:pPr>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8</w:t>
            </w:r>
          </w:p>
        </w:tc>
        <w:tc>
          <w:tcPr>
            <w:tcW w:w="824"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功率放大器</w:t>
            </w:r>
          </w:p>
        </w:tc>
        <w:tc>
          <w:tcPr>
            <w:tcW w:w="6432" w:type="dxa"/>
          </w:tcPr>
          <w:p>
            <w:pPr>
              <w:rPr>
                <w:rFonts w:hint="eastAsia" w:asciiTheme="minorEastAsia" w:hAnsiTheme="minorEastAsia" w:eastAsiaTheme="minorEastAsia"/>
                <w:color w:val="000000"/>
                <w:szCs w:val="21"/>
              </w:rPr>
            </w:pP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1、采用双声道高保真全分离件、全频带功率放大系统。</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2、设有二路有线话筒输入，一路无线话筒输入，一路USB型2.4G无线话筒输入，三组线路输入，一路定压广播信号输入，一组线路输出，一组录音输出，A+B组功率输出。</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3、本机话筒、线路的音量可独立调节并具有高低音2段均衡，具有环保麦克风插口带+48V幻像电源。</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4、该机带有RS232接口，可实现电脑联机或中控控制，带有定压广播信号优先播放功能。</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5、本机具有高保真、高清晰、性能稳定可靠等特点</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6、额定功率：2×110W/8Ω  2×165W/4Ω；</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7、频率响应 20Hz-20KHz  ±1dB；</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8、输入灵敏度 话筒 15mv±2mv，线路300mv±30mv；</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9、失真度 ≤0.5%；</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10、话筒高低音 提衰10dB±2dB；</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11、幻像电源 +48V；、额定电源电压 交流220V /50Hz。</w: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707" w:type="dxa"/>
            <w:vAlign w:val="center"/>
          </w:tcPr>
          <w:p>
            <w:pPr>
              <w:jc w:val="center"/>
              <w:rPr>
                <w:rFonts w:hint="eastAsia" w:cs="宋体" w:asciiTheme="minorEastAsia" w:hAnsiTheme="minorEastAsia" w:eastAsiaTheme="minorEastAsia"/>
                <w:szCs w:val="21"/>
              </w:rPr>
            </w:pPr>
            <w:r>
              <w:rPr>
                <w:rFonts w:hint="eastAsia" w:asciiTheme="minorEastAsia" w:hAnsiTheme="minorEastAsia" w:eastAsiaTheme="minorEastAsia"/>
                <w:szCs w:val="21"/>
              </w:rPr>
              <w:t>9</w:t>
            </w:r>
          </w:p>
        </w:tc>
        <w:tc>
          <w:tcPr>
            <w:tcW w:w="824"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无线话筒（一手持一头戴）</w:t>
            </w:r>
          </w:p>
        </w:tc>
        <w:tc>
          <w:tcPr>
            <w:tcW w:w="6432" w:type="dxa"/>
          </w:tcPr>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1、EIA 标准 1U，双通道分集式接收机一台，手持二只；</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2、黑色金属面板，LED 段码显示器，可同时显示群组、频率、电池电量、</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静音位准、电子音量等相关信息；LED 灯柱显示 RF/AF 强度；</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3、载波频段: UHF530～690.000MHZ； 单机频道数量：2000 个；</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4、频率间隔：25KHz；</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5、音频灵敏度: -48±3dB； </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6、综合 S/N 比 : &gt;100dB(A)； 9、综合 T.H.D. :&lt;0.5%@1kHz ； </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7、频率响应 : 70Hz～15kHz；</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8、最大声压级：109dBA@1KHz，THD 1%；                                                                                                                                                                                                                       9、指向性频响曲线 : 300～2000Hz≤-8dB；</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10、电源供应 ： 100-240V,内置 AC 电源板，支持 AC 电源环路输出。</w: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 w:hRule="atLeast"/>
          <w:jc w:val="center"/>
        </w:trPr>
        <w:tc>
          <w:tcPr>
            <w:tcW w:w="707"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824" w:type="dxa"/>
            <w:vAlign w:val="center"/>
          </w:tcPr>
          <w:p>
            <w:pPr>
              <w:jc w:val="center"/>
              <w:rPr>
                <w:rFonts w:hint="eastAsia" w:cs="宋体" w:asciiTheme="minorEastAsia" w:hAnsiTheme="minorEastAsia" w:eastAsiaTheme="minorEastAsia"/>
                <w:color w:val="000000"/>
                <w:szCs w:val="21"/>
              </w:rPr>
            </w:pPr>
            <w:r>
              <w:rPr>
                <w:rFonts w:hint="eastAsia" w:asciiTheme="minorEastAsia" w:hAnsiTheme="minorEastAsia" w:eastAsiaTheme="minorEastAsia"/>
                <w:color w:val="000000"/>
                <w:szCs w:val="21"/>
              </w:rPr>
              <w:t>音箱</w:t>
            </w:r>
          </w:p>
        </w:tc>
        <w:tc>
          <w:tcPr>
            <w:tcW w:w="6432" w:type="dxa"/>
          </w:tcPr>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1、8英寸轻量化大功率、长冲程Ferrite低音驱动单元；顺性好，中低频饱满；</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2、1英寸丝膜高音单元，加装压缩式号角，不仅使音色细腻，还有改善高音辐射特性；</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3、90 °x 60°覆盖角设计，具有均匀且平滑的轴向和偏轴向的响应；使声音的音场更为开阔、结像清晰，可以真实再现音乐现场的效果</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4、分频器具有高频保护电路；精确设计的分频器优化了频率响应，提升了中频人声表现力 </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5、标配有简易安装支架，方便音箱多角度旋转 ；同时也可以选用三角支架支撑方式使用</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6、主要用于全音域扩声、语言扩声、中小型会议系统、小型报厅扩声系统 </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 xml:space="preserve">7、额定/峰值功率： 80W /320 W </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8、额定阻抗：8 Ω</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9、特性灵敏度： 90dB/W/m</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10、输出声压级：109 dB/W/m(Continues)</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115 dB/W/m(Peak)</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11、额定频率范围:  55 ~ 20000Hz</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12、覆盖角度HxV： 90ºx60º</w:t>
            </w:r>
          </w:p>
          <w:p>
            <w:pPr>
              <w:jc w:val="left"/>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13、扬声器单元：LF:1*8 英寸   HF:1* 1.英寸</w: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2" w:hRule="atLeast"/>
          <w:jc w:val="center"/>
        </w:trPr>
        <w:tc>
          <w:tcPr>
            <w:tcW w:w="707"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11</w:t>
            </w:r>
          </w:p>
        </w:tc>
        <w:tc>
          <w:tcPr>
            <w:tcW w:w="824"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探究型桌椅</w:t>
            </w:r>
          </w:p>
        </w:tc>
        <w:tc>
          <w:tcPr>
            <w:tcW w:w="6432" w:type="dxa"/>
          </w:tcPr>
          <w:p>
            <w:pPr>
              <w:rPr>
                <w:rFonts w:hint="eastAsia"/>
              </w:rPr>
            </w:pPr>
            <w:r>
              <w:rPr>
                <w:rFonts w:hint="eastAsia"/>
              </w:rPr>
              <w:t>6人组位，可拼接探究桌（尺寸根据教室实际面积定制）</w:t>
            </w:r>
          </w:p>
          <w:p>
            <w:pPr>
              <w:jc w:val="left"/>
              <w:rPr>
                <w:rFonts w:hint="eastAsia"/>
              </w:rPr>
            </w:pPr>
            <w:r>
              <w:rPr>
                <w:rFonts w:asciiTheme="minorEastAsia" w:hAnsiTheme="minorEastAsia" w:eastAsiaTheme="minorEastAsia"/>
                <w:color w:val="000000"/>
                <w:szCs w:val="21"/>
              </w:rPr>
              <w:pict>
                <v:shape id="_x0000_s2050" o:spid="_x0000_s2050" o:spt="75" alt="688b3937885c1872cf01b52503793f7" type="#_x0000_t75" style="position:absolute;left:0pt;margin-left:59.55pt;margin-top:47.15pt;height:84.1pt;width:98.4pt;z-index:-251658240;mso-width-relative:page;mso-height-relative:page;" filled="f" o:preferrelative="t" stroked="f" coordsize="21600,21600">
                  <v:path/>
                  <v:fill on="f" focussize="0,0"/>
                  <v:stroke on="f"/>
                  <v:imagedata r:id="rId8" o:title=""/>
                  <o:lock v:ext="edit" aspectratio="t"/>
                </v:shape>
              </w:pict>
            </w:r>
            <w:r>
              <w:rPr>
                <w:rFonts w:hint="eastAsia"/>
              </w:rPr>
              <w:t>台面要求采用环保实木颗粒板，免漆，耐磨，易清洁；选用优质钢材下架经久耐用、造形美观；每套配备钢制电脑凳子6张，参考样式如下（供货商可以根据教室整体装修设计方案提供更高档次和质量的桌椅套装）。</w:t>
            </w:r>
          </w:p>
          <w:p>
            <w:pPr>
              <w:pStyle w:val="2"/>
              <w:rPr>
                <w:rFonts w:hint="eastAsia"/>
              </w:rPr>
            </w:pP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6</w: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70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824" w:type="dxa"/>
            <w:vAlign w:val="center"/>
          </w:tcPr>
          <w:p>
            <w:pPr>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空调</w:t>
            </w:r>
          </w:p>
        </w:tc>
        <w:tc>
          <w:tcPr>
            <w:tcW w:w="6432" w:type="dxa"/>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知名品牌，5匹柜式冷暖空调</w: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2" w:hRule="atLeast"/>
          <w:jc w:val="center"/>
        </w:trPr>
        <w:tc>
          <w:tcPr>
            <w:tcW w:w="70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13</w:t>
            </w:r>
          </w:p>
        </w:tc>
        <w:tc>
          <w:tcPr>
            <w:tcW w:w="824" w:type="dxa"/>
            <w:vAlign w:val="center"/>
          </w:tcPr>
          <w:p>
            <w:pPr>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可折叠椅子</w:t>
            </w:r>
          </w:p>
        </w:tc>
        <w:tc>
          <w:tcPr>
            <w:tcW w:w="6432" w:type="dxa"/>
            <w:vAlign w:val="center"/>
          </w:tcPr>
          <w:p>
            <w:pPr>
              <w:jc w:val="center"/>
              <w:rPr>
                <w:rFonts w:hint="eastAsia" w:asciiTheme="minorEastAsia" w:hAnsiTheme="minorEastAsia" w:eastAsiaTheme="minorEastAsia"/>
                <w:color w:val="000000"/>
                <w:szCs w:val="21"/>
              </w:rPr>
            </w:pPr>
            <w:r>
              <w:rPr>
                <w:rFonts w:asciiTheme="minorEastAsia" w:hAnsiTheme="minorEastAsia" w:eastAsiaTheme="minorEastAsia"/>
                <w:color w:val="000000"/>
                <w:szCs w:val="21"/>
              </w:rPr>
              <w:t>便携式简易折叠椅子</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参考</w:t>
            </w:r>
            <w:r>
              <w:rPr>
                <w:rFonts w:hint="eastAsia" w:asciiTheme="minorEastAsia" w:hAnsiTheme="minorEastAsia" w:eastAsiaTheme="minorEastAsia"/>
                <w:color w:val="000000"/>
                <w:szCs w:val="21"/>
              </w:rPr>
              <w:t>样式</w:t>
            </w:r>
            <w:r>
              <w:rPr>
                <w:rFonts w:asciiTheme="minorEastAsia" w:hAnsiTheme="minorEastAsia" w:eastAsiaTheme="minorEastAsia"/>
                <w:szCs w:val="21"/>
              </w:rPr>
              <w:pict>
                <v:shape id="_x0000_i1025" o:spt="75" type="#_x0000_t75" style="height:118.35pt;width:107.7pt;" filled="f" o:preferrelative="t" stroked="f" coordsize="21600,21600">
                  <v:path/>
                  <v:fill on="f" focussize="0,0"/>
                  <v:stroke on="f"/>
                  <v:imagedata r:id="rId9" o:title=""/>
                  <o:lock v:ext="edit" aspectratio="t"/>
                  <w10:wrap type="none"/>
                  <w10:anchorlock/>
                </v:shape>
              </w:pic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30</w: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jc w:val="center"/>
        </w:trPr>
        <w:tc>
          <w:tcPr>
            <w:tcW w:w="70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824" w:type="dxa"/>
            <w:vAlign w:val="center"/>
          </w:tcPr>
          <w:p>
            <w:pPr>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多媒体机柜</w:t>
            </w:r>
          </w:p>
        </w:tc>
        <w:tc>
          <w:tcPr>
            <w:tcW w:w="6432" w:type="dxa"/>
            <w:vAlign w:val="center"/>
          </w:tcPr>
          <w:p>
            <w:pPr>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12U玻璃门万向轮机柜</w: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 w:hRule="atLeast"/>
          <w:jc w:val="center"/>
        </w:trPr>
        <w:tc>
          <w:tcPr>
            <w:tcW w:w="70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15</w:t>
            </w:r>
          </w:p>
        </w:tc>
        <w:tc>
          <w:tcPr>
            <w:tcW w:w="824" w:type="dxa"/>
            <w:vAlign w:val="center"/>
          </w:tcPr>
          <w:p>
            <w:pPr>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翻页笔</w:t>
            </w:r>
          </w:p>
        </w:tc>
        <w:tc>
          <w:tcPr>
            <w:tcW w:w="6432" w:type="dxa"/>
            <w:vAlign w:val="center"/>
          </w:tcPr>
          <w:p>
            <w:pPr>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激光翻页笔，无线控制，USB充电</w: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10</w: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1" w:hRule="atLeast"/>
          <w:jc w:val="center"/>
        </w:trPr>
        <w:tc>
          <w:tcPr>
            <w:tcW w:w="70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16</w:t>
            </w:r>
          </w:p>
        </w:tc>
        <w:tc>
          <w:tcPr>
            <w:tcW w:w="824" w:type="dxa"/>
            <w:vAlign w:val="center"/>
          </w:tcPr>
          <w:p>
            <w:pPr>
              <w:jc w:val="cente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系统集成、装修</w:t>
            </w:r>
          </w:p>
        </w:tc>
        <w:tc>
          <w:tcPr>
            <w:tcW w:w="6432" w:type="dxa"/>
            <w:vAlign w:val="center"/>
          </w:tcPr>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具体装修方案根据用户的场地（教室面积100-120平米左右）要求，现场测量做地勘、设计，要求包括但不限于以下内容：</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1.墙面铺设环保集成墙板、隔音棉或者其他方案，设计教室文化墙，铺设材料和文化墙颜色风格根据采购人要求定制；教室顶部根据教室空间做吊顶，铝方通，按教室环境安装节能LED灯光，均匀布光，并在教师区增加使用黑板灯，负责教室灯光设备及安装调试。地面铺设环保地胶或者其他材料。根据教室整体风格，定制两组书柜。</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2.更换教室门为安全防盗门，更换目前已经安装的遮光窗帘及窗帘杆，窗台铺设石材。</w:t>
            </w:r>
            <w:r>
              <w:rPr>
                <w:rFonts w:hint="eastAsia" w:asciiTheme="minorEastAsia" w:hAnsiTheme="minorEastAsia" w:eastAsiaTheme="minorEastAsia"/>
                <w:color w:val="000000"/>
                <w:szCs w:val="21"/>
              </w:rPr>
              <w:br w:type="textWrapping"/>
            </w:r>
            <w:r>
              <w:rPr>
                <w:rFonts w:hint="eastAsia" w:asciiTheme="minorEastAsia" w:hAnsiTheme="minorEastAsia" w:eastAsiaTheme="minorEastAsia"/>
                <w:color w:val="000000"/>
                <w:szCs w:val="21"/>
              </w:rPr>
              <w:t>3.选用优质HDMI 线/电源线/控制线/视频线/音频线/网络线等线材，接头以及线槽/插板/KBG 管等等，所用材料均符合国家环保标准，线材、五金配件等均符合国标。</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4.教室内按使用方要求安装布置足够数量的五孔电源插座、网线接口，便于为各种教学设备供电、联网。所使用的电线插座及其它配件均采用国内知名品牌，确保教学正常运行。电路改造、教室用电开关；供电配置：5 孔 5 位 10A 插孔，符合 IEC61000-4-2，带安全门；★支持100-240V AC供电，最大额定负载不低于2500W</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Cs w:val="21"/>
                <w:lang w:eastAsia="zh-CN"/>
              </w:rPr>
              <w:t>响应</w:t>
            </w:r>
            <w:r>
              <w:rPr>
                <w:rFonts w:hint="eastAsia" w:asciiTheme="minorEastAsia" w:hAnsiTheme="minorEastAsia" w:eastAsiaTheme="minorEastAsia"/>
                <w:color w:val="000000"/>
                <w:szCs w:val="21"/>
              </w:rPr>
              <w:t>文件中提供官网截图或产品彩页扫描件）；具有电源键、功能键等物理按键，以及自定义按键指示灯、三色（红绿蓝）状态指示灯、通电指示灯；★具有低分贝蜂鸣功能（</w:t>
            </w:r>
            <w:r>
              <w:rPr>
                <w:rFonts w:hint="eastAsia" w:asciiTheme="minorEastAsia" w:hAnsiTheme="minorEastAsia" w:eastAsiaTheme="minorEastAsia"/>
                <w:color w:val="000000"/>
                <w:szCs w:val="21"/>
                <w:lang w:eastAsia="zh-CN"/>
              </w:rPr>
              <w:t>响应</w:t>
            </w:r>
            <w:r>
              <w:rPr>
                <w:rFonts w:hint="eastAsia" w:asciiTheme="minorEastAsia" w:hAnsiTheme="minorEastAsia" w:eastAsiaTheme="minorEastAsia"/>
                <w:color w:val="000000"/>
                <w:szCs w:val="21"/>
              </w:rPr>
              <w:t>文件中提供官网截图或产品彩页扫描件）；★支持定时开关控制，支持单次、每周、每月、每天某时间自动断电上电，并支持循环结束时间，为节约用电，每天夜间楼宇无人使用时，定时自动切断电源（</w:t>
            </w:r>
            <w:r>
              <w:rPr>
                <w:rFonts w:hint="eastAsia" w:asciiTheme="minorEastAsia" w:hAnsiTheme="minorEastAsia" w:eastAsiaTheme="minorEastAsia"/>
                <w:color w:val="000000"/>
                <w:szCs w:val="21"/>
                <w:lang w:eastAsia="zh-CN"/>
              </w:rPr>
              <w:t>响应</w:t>
            </w:r>
            <w:r>
              <w:rPr>
                <w:rFonts w:hint="eastAsia" w:asciiTheme="minorEastAsia" w:hAnsiTheme="minorEastAsia" w:eastAsiaTheme="minorEastAsia"/>
                <w:color w:val="000000"/>
                <w:szCs w:val="21"/>
              </w:rPr>
              <w:t>文件中提供官网截图或产品彩页扫描件）；★所投智能用电管理设备厂商具有智能插座软件著作权登记证书，</w:t>
            </w:r>
            <w:r>
              <w:rPr>
                <w:rFonts w:hint="eastAsia" w:asciiTheme="minorEastAsia" w:hAnsiTheme="minorEastAsia" w:eastAsiaTheme="minorEastAsia"/>
                <w:color w:val="000000"/>
                <w:szCs w:val="21"/>
                <w:lang w:eastAsia="zh-CN"/>
              </w:rPr>
              <w:t>响应</w:t>
            </w:r>
            <w:r>
              <w:rPr>
                <w:rFonts w:hint="eastAsia" w:asciiTheme="minorEastAsia" w:hAnsiTheme="minorEastAsia" w:eastAsiaTheme="minorEastAsia"/>
                <w:color w:val="000000"/>
                <w:szCs w:val="21"/>
              </w:rPr>
              <w:t>文件中提供证书扫描件。★所投智能用电管理设备厂商具有物联网软件平台软件著作权登记证书，</w:t>
            </w:r>
            <w:r>
              <w:rPr>
                <w:rFonts w:hint="eastAsia" w:asciiTheme="minorEastAsia" w:hAnsiTheme="minorEastAsia" w:eastAsiaTheme="minorEastAsia"/>
                <w:color w:val="000000"/>
                <w:szCs w:val="21"/>
                <w:lang w:eastAsia="zh-CN"/>
              </w:rPr>
              <w:t>响应</w:t>
            </w:r>
            <w:r>
              <w:rPr>
                <w:rFonts w:hint="eastAsia" w:asciiTheme="minorEastAsia" w:hAnsiTheme="minorEastAsia" w:eastAsiaTheme="minorEastAsia"/>
                <w:color w:val="000000"/>
                <w:szCs w:val="21"/>
              </w:rPr>
              <w:t>文件中提供证书扫描件。</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★5.所有硬件设备要能够对接学院智慧教室平台系统，如果学院智慧教室平台系统实施完毕，则项目实施时同步对接软硬件系统，调试到正常使用；如果学院智慧教室平台系统未实施完毕，则</w:t>
            </w:r>
            <w:r>
              <w:rPr>
                <w:rFonts w:hint="eastAsia" w:asciiTheme="minorEastAsia" w:hAnsiTheme="minorEastAsia" w:eastAsiaTheme="minorEastAsia"/>
                <w:color w:val="000000"/>
                <w:szCs w:val="21"/>
                <w:lang w:eastAsia="zh-CN"/>
              </w:rPr>
              <w:t>成交</w:t>
            </w:r>
            <w:r>
              <w:rPr>
                <w:rFonts w:hint="eastAsia" w:asciiTheme="minorEastAsia" w:hAnsiTheme="minorEastAsia" w:eastAsiaTheme="minorEastAsia"/>
                <w:color w:val="000000"/>
                <w:szCs w:val="21"/>
              </w:rPr>
              <w:t>人需要承诺后期负责软硬件系统对接、调试到正常使用。</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5.原有灯具、风扇、投影仪、幕布等电器设备的拆除和移装。</w:t>
            </w:r>
          </w:p>
          <w:p>
            <w:pPr>
              <w:rPr>
                <w:rFonts w:hint="eastAsia" w:asciiTheme="minorEastAsia" w:hAnsiTheme="minorEastAsia" w:eastAsiaTheme="minorEastAsia"/>
                <w:color w:val="000000"/>
                <w:szCs w:val="21"/>
              </w:rPr>
            </w:pPr>
            <w:r>
              <w:rPr>
                <w:rFonts w:hint="eastAsia" w:asciiTheme="minorEastAsia" w:hAnsiTheme="minorEastAsia" w:eastAsiaTheme="minorEastAsia"/>
                <w:color w:val="000000"/>
                <w:szCs w:val="21"/>
              </w:rPr>
              <w:t>6.现场清理。</w: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567" w:type="dxa"/>
            <w:vAlign w:val="center"/>
          </w:tcPr>
          <w:p>
            <w:pPr>
              <w:jc w:val="center"/>
              <w:rPr>
                <w:rFonts w:hint="eastAsia" w:asciiTheme="minorEastAsia" w:hAnsiTheme="minorEastAsia" w:eastAsiaTheme="minorEastAsia"/>
                <w:szCs w:val="21"/>
              </w:rPr>
            </w:pPr>
            <w:r>
              <w:rPr>
                <w:rFonts w:hint="eastAsia" w:asciiTheme="minorEastAsia" w:hAnsiTheme="minorEastAsia" w:eastAsiaTheme="minorEastAsia"/>
                <w:szCs w:val="21"/>
              </w:rPr>
              <w:t>项</w:t>
            </w:r>
          </w:p>
        </w:tc>
      </w:tr>
    </w:tbl>
    <w:p>
      <w:pPr>
        <w:snapToGrid w:val="0"/>
        <w:spacing w:line="460" w:lineRule="exact"/>
        <w:rPr>
          <w:rFonts w:ascii="宋体" w:hAnsi="宋体"/>
          <w:bCs/>
          <w:szCs w:val="21"/>
        </w:rPr>
      </w:pPr>
      <w:r>
        <w:rPr>
          <w:rFonts w:hint="eastAsia" w:ascii="宋体" w:hAnsi="宋体"/>
          <w:bCs/>
          <w:szCs w:val="21"/>
        </w:rPr>
        <w:t>注：1、注明★处为必须满足 ，功能和参数不能实质响应</w:t>
      </w:r>
      <w:r>
        <w:rPr>
          <w:rFonts w:hint="eastAsia" w:ascii="宋体" w:hAnsi="宋体"/>
          <w:bCs/>
          <w:szCs w:val="21"/>
          <w:lang w:eastAsia="zh-CN"/>
        </w:rPr>
        <w:t>询价</w:t>
      </w:r>
      <w:r>
        <w:rPr>
          <w:rFonts w:hint="eastAsia" w:ascii="宋体" w:hAnsi="宋体"/>
          <w:bCs/>
          <w:szCs w:val="21"/>
        </w:rPr>
        <w:t>文件要求构成重大偏离的，均按不满足</w:t>
      </w:r>
      <w:r>
        <w:rPr>
          <w:rFonts w:hint="eastAsia" w:ascii="宋体" w:hAnsi="宋体"/>
          <w:bCs/>
          <w:szCs w:val="21"/>
          <w:lang w:eastAsia="zh-CN"/>
        </w:rPr>
        <w:t>询价</w:t>
      </w:r>
      <w:r>
        <w:rPr>
          <w:rFonts w:hint="eastAsia" w:ascii="宋体" w:hAnsi="宋体"/>
          <w:bCs/>
          <w:szCs w:val="21"/>
        </w:rPr>
        <w:t>文件处理；</w:t>
      </w:r>
    </w:p>
    <w:p>
      <w:pPr>
        <w:snapToGrid w:val="0"/>
        <w:spacing w:line="460" w:lineRule="exact"/>
        <w:rPr>
          <w:rFonts w:ascii="宋体" w:hAnsi="宋体"/>
          <w:b/>
          <w:szCs w:val="21"/>
        </w:rPr>
      </w:pPr>
      <w:r>
        <w:rPr>
          <w:rFonts w:hint="eastAsia" w:ascii="宋体" w:hAnsi="宋体"/>
          <w:b/>
          <w:szCs w:val="21"/>
          <w:lang w:eastAsia="zh-CN"/>
        </w:rPr>
        <w:t>三</w:t>
      </w:r>
      <w:r>
        <w:rPr>
          <w:rFonts w:hint="eastAsia" w:ascii="宋体" w:hAnsi="宋体"/>
          <w:b/>
          <w:szCs w:val="21"/>
        </w:rPr>
        <w:t>、商务需求（合同主要条款）</w:t>
      </w:r>
    </w:p>
    <w:p>
      <w:pPr>
        <w:spacing w:line="360" w:lineRule="auto"/>
        <w:ind w:firstLine="422" w:firstLineChars="200"/>
        <w:rPr>
          <w:rFonts w:ascii="宋体" w:hAnsi="宋体" w:cs="宋体"/>
          <w:b/>
          <w:szCs w:val="21"/>
        </w:rPr>
      </w:pPr>
      <w:r>
        <w:rPr>
          <w:rFonts w:hint="eastAsia" w:ascii="宋体" w:hAnsi="宋体" w:cs="宋体"/>
          <w:b/>
          <w:szCs w:val="21"/>
        </w:rPr>
        <w:t>1、合同的交货（完工）时间及地点：</w:t>
      </w:r>
    </w:p>
    <w:p>
      <w:pPr>
        <w:spacing w:line="360" w:lineRule="auto"/>
        <w:ind w:firstLine="420" w:firstLineChars="200"/>
        <w:rPr>
          <w:rFonts w:ascii="宋体" w:hAnsi="宋体" w:cs="宋体"/>
          <w:szCs w:val="21"/>
        </w:rPr>
      </w:pPr>
      <w:r>
        <w:rPr>
          <w:rFonts w:hint="eastAsia" w:ascii="宋体" w:hAnsi="宋体" w:cs="宋体"/>
          <w:szCs w:val="21"/>
        </w:rPr>
        <w:t>1.1合同签订：</w:t>
      </w:r>
      <w:r>
        <w:rPr>
          <w:rFonts w:hint="eastAsia" w:ascii="宋体" w:hAnsi="宋体" w:cs="宋体"/>
          <w:szCs w:val="21"/>
          <w:lang w:eastAsia="zh-CN"/>
        </w:rPr>
        <w:t>成交</w:t>
      </w:r>
      <w:r>
        <w:rPr>
          <w:rFonts w:hint="eastAsia" w:ascii="宋体" w:hAnsi="宋体" w:cs="宋体"/>
          <w:szCs w:val="21"/>
        </w:rPr>
        <w:t>通知书发出后10日内完成合同签订工作。</w:t>
      </w:r>
    </w:p>
    <w:p>
      <w:pPr>
        <w:spacing w:line="360" w:lineRule="auto"/>
        <w:ind w:firstLine="420" w:firstLineChars="200"/>
        <w:rPr>
          <w:rFonts w:ascii="宋体" w:hAnsi="宋体" w:cs="宋体"/>
          <w:szCs w:val="21"/>
        </w:rPr>
      </w:pPr>
      <w:r>
        <w:rPr>
          <w:rFonts w:hint="eastAsia" w:ascii="宋体" w:hAnsi="宋体" w:cs="宋体"/>
          <w:szCs w:val="21"/>
        </w:rPr>
        <w:t>1.2交货时间：合同签订后30日历天内完成供货及安装。</w:t>
      </w:r>
    </w:p>
    <w:p>
      <w:pPr>
        <w:spacing w:line="360" w:lineRule="auto"/>
        <w:ind w:firstLine="420" w:firstLineChars="200"/>
        <w:rPr>
          <w:rFonts w:ascii="宋体" w:hAnsi="宋体" w:cs="宋体"/>
          <w:szCs w:val="21"/>
        </w:rPr>
      </w:pPr>
      <w:r>
        <w:rPr>
          <w:rFonts w:hint="eastAsia" w:ascii="宋体" w:hAnsi="宋体" w:cs="宋体"/>
          <w:szCs w:val="21"/>
        </w:rPr>
        <w:t>1.3交货地点：采购单位指定地点。</w:t>
      </w:r>
    </w:p>
    <w:p>
      <w:pPr>
        <w:spacing w:line="360" w:lineRule="auto"/>
        <w:ind w:firstLine="422" w:firstLineChars="200"/>
        <w:rPr>
          <w:rFonts w:ascii="宋体" w:hAnsi="宋体" w:cs="宋体"/>
          <w:szCs w:val="21"/>
        </w:rPr>
      </w:pPr>
      <w:r>
        <w:rPr>
          <w:rFonts w:hint="eastAsia" w:ascii="宋体" w:hAnsi="宋体" w:cs="宋体"/>
          <w:b/>
          <w:szCs w:val="21"/>
        </w:rPr>
        <w:t>2、报价：</w:t>
      </w:r>
      <w:r>
        <w:rPr>
          <w:rFonts w:hint="eastAsia" w:ascii="宋体" w:hAnsi="宋体" w:cs="宋体"/>
          <w:szCs w:val="21"/>
        </w:rPr>
        <w:t>应包含但不限于所投货物、服务、保险、税费、包装、加工及加工损耗、运输、现场落地、安装及安装损耗、调试、培训、检测验收和交付后约定期限内免费质保等所发生的一切应有费用，报价为签订合同的依据。</w:t>
      </w:r>
    </w:p>
    <w:p>
      <w:pPr>
        <w:spacing w:line="360" w:lineRule="auto"/>
        <w:ind w:firstLine="420" w:firstLineChars="200"/>
        <w:rPr>
          <w:rFonts w:ascii="宋体" w:hAnsi="宋体" w:cs="宋体"/>
          <w:szCs w:val="21"/>
        </w:rPr>
      </w:pPr>
      <w:r>
        <w:rPr>
          <w:rFonts w:hint="eastAsia" w:ascii="宋体" w:hAnsi="宋体" w:cs="宋体"/>
          <w:szCs w:val="21"/>
        </w:rPr>
        <w:t>除以上具体要求外，本项目报价还包括且不限于以下内容：</w:t>
      </w:r>
    </w:p>
    <w:p>
      <w:pPr>
        <w:spacing w:line="360" w:lineRule="auto"/>
        <w:ind w:firstLine="420" w:firstLineChars="200"/>
        <w:rPr>
          <w:rFonts w:ascii="宋体" w:hAnsi="宋体" w:cs="宋体"/>
          <w:szCs w:val="21"/>
        </w:rPr>
      </w:pPr>
      <w:r>
        <w:rPr>
          <w:rFonts w:hint="eastAsia" w:ascii="宋体" w:hAnsi="宋体" w:cs="宋体"/>
          <w:szCs w:val="21"/>
        </w:rPr>
        <w:t>2.1设备材料价（包括要求工程范围内的设备、备品备件及专用工具等的价格并包括各种税费、运杂费、保险费、调试费等）。</w:t>
      </w:r>
    </w:p>
    <w:p>
      <w:pPr>
        <w:spacing w:line="360" w:lineRule="auto"/>
        <w:ind w:firstLine="420" w:firstLineChars="200"/>
        <w:rPr>
          <w:rFonts w:ascii="宋体" w:hAnsi="宋体" w:cs="宋体"/>
          <w:szCs w:val="21"/>
        </w:rPr>
      </w:pPr>
      <w:r>
        <w:rPr>
          <w:rFonts w:hint="eastAsia" w:ascii="宋体" w:hAnsi="宋体" w:cs="宋体"/>
          <w:szCs w:val="21"/>
        </w:rPr>
        <w:t>2.2安装费用。</w:t>
      </w:r>
    </w:p>
    <w:p>
      <w:pPr>
        <w:spacing w:line="360" w:lineRule="auto"/>
        <w:ind w:firstLine="420" w:firstLineChars="200"/>
        <w:rPr>
          <w:rFonts w:ascii="宋体" w:hAnsi="宋体" w:cs="宋体"/>
          <w:szCs w:val="21"/>
        </w:rPr>
      </w:pPr>
      <w:r>
        <w:rPr>
          <w:rFonts w:hint="eastAsia" w:ascii="宋体" w:hAnsi="宋体" w:cs="宋体"/>
          <w:szCs w:val="21"/>
        </w:rPr>
        <w:t>2.3调试费用。</w:t>
      </w:r>
    </w:p>
    <w:p>
      <w:pPr>
        <w:spacing w:line="360" w:lineRule="auto"/>
        <w:ind w:firstLine="420" w:firstLineChars="200"/>
        <w:rPr>
          <w:rFonts w:ascii="宋体" w:hAnsi="宋体" w:cs="宋体"/>
          <w:szCs w:val="21"/>
        </w:rPr>
      </w:pPr>
      <w:r>
        <w:rPr>
          <w:rFonts w:hint="eastAsia" w:ascii="宋体" w:hAnsi="宋体" w:cs="宋体"/>
          <w:szCs w:val="21"/>
        </w:rPr>
        <w:t>2.4现场可能发生的临时设施费等各种临时费用及其它费用。</w:t>
      </w:r>
    </w:p>
    <w:p>
      <w:pPr>
        <w:spacing w:line="360" w:lineRule="auto"/>
        <w:ind w:firstLine="420" w:firstLineChars="200"/>
        <w:rPr>
          <w:rFonts w:ascii="宋体" w:hAnsi="宋体" w:cs="宋体"/>
          <w:szCs w:val="21"/>
        </w:rPr>
      </w:pPr>
      <w:r>
        <w:rPr>
          <w:rFonts w:hint="eastAsia" w:ascii="宋体" w:hAnsi="宋体" w:cs="宋体"/>
          <w:szCs w:val="21"/>
        </w:rPr>
        <w:t>2.5供应商的谈判报价不得超过采购预算，否则视为无效报价。</w:t>
      </w:r>
    </w:p>
    <w:p>
      <w:pPr>
        <w:spacing w:line="360" w:lineRule="auto"/>
        <w:ind w:firstLine="422" w:firstLineChars="200"/>
        <w:rPr>
          <w:rFonts w:ascii="宋体" w:hAnsi="宋体" w:cs="宋体"/>
          <w:szCs w:val="21"/>
        </w:rPr>
      </w:pPr>
      <w:r>
        <w:rPr>
          <w:rFonts w:hint="eastAsia" w:ascii="宋体" w:hAnsi="宋体" w:cs="宋体"/>
          <w:b/>
          <w:szCs w:val="21"/>
        </w:rPr>
        <w:t>3、质保期：</w:t>
      </w:r>
      <w:r>
        <w:rPr>
          <w:rFonts w:hint="eastAsia" w:ascii="宋体" w:hAnsi="宋体" w:cs="宋体"/>
          <w:szCs w:val="21"/>
        </w:rPr>
        <w:t>质保期不少于三年，厂家质保超过三年的，按厂家执行。在此期间，因材料和生产不良而产生的损坏，</w:t>
      </w:r>
      <w:r>
        <w:rPr>
          <w:rFonts w:hint="eastAsia" w:ascii="宋体" w:hAnsi="宋体" w:cs="宋体"/>
          <w:szCs w:val="21"/>
          <w:lang w:eastAsia="zh-CN"/>
        </w:rPr>
        <w:t>成交</w:t>
      </w:r>
      <w:r>
        <w:rPr>
          <w:rFonts w:hint="eastAsia" w:ascii="宋体" w:hAnsi="宋体" w:cs="宋体"/>
          <w:szCs w:val="21"/>
        </w:rPr>
        <w:t>人应包修、包换、包退。</w:t>
      </w:r>
    </w:p>
    <w:p>
      <w:pPr>
        <w:spacing w:line="360" w:lineRule="auto"/>
        <w:ind w:firstLine="422" w:firstLineChars="200"/>
        <w:rPr>
          <w:rFonts w:ascii="宋体" w:hAnsi="宋体" w:cs="宋体"/>
          <w:szCs w:val="21"/>
        </w:rPr>
      </w:pPr>
      <w:r>
        <w:rPr>
          <w:rFonts w:hint="eastAsia" w:ascii="宋体" w:hAnsi="宋体" w:cs="宋体"/>
          <w:b/>
          <w:szCs w:val="21"/>
        </w:rPr>
        <w:t>4、货物验收</w:t>
      </w:r>
      <w:r>
        <w:rPr>
          <w:rFonts w:hint="eastAsia" w:ascii="宋体" w:hAnsi="宋体" w:cs="宋体"/>
          <w:szCs w:val="21"/>
        </w:rPr>
        <w:t>：本项目完工后，经有关部门按设备验收标准检验合格，采购单位方能组织验收并填写“合格验收单”，并完成货物所有权的移交工作。</w:t>
      </w:r>
    </w:p>
    <w:p>
      <w:pPr>
        <w:spacing w:line="360" w:lineRule="auto"/>
        <w:ind w:firstLine="420" w:firstLineChars="200"/>
        <w:rPr>
          <w:rFonts w:ascii="宋体" w:hAnsi="宋体" w:cs="宋体"/>
          <w:szCs w:val="21"/>
        </w:rPr>
      </w:pPr>
      <w:r>
        <w:rPr>
          <w:rFonts w:hint="eastAsia" w:ascii="宋体" w:hAnsi="宋体" w:cs="宋体"/>
          <w:szCs w:val="21"/>
        </w:rPr>
        <w:t>（1）质量验收标准：</w:t>
      </w:r>
      <w:r>
        <w:rPr>
          <w:rFonts w:hint="eastAsia" w:ascii="宋体" w:hAnsi="宋体" w:cs="宋体"/>
          <w:szCs w:val="21"/>
          <w:lang w:eastAsia="zh-CN"/>
        </w:rPr>
        <w:t>询价</w:t>
      </w:r>
      <w:r>
        <w:rPr>
          <w:rFonts w:hint="eastAsia" w:ascii="宋体" w:hAnsi="宋体" w:cs="宋体"/>
          <w:szCs w:val="21"/>
        </w:rPr>
        <w:t>文件规定部分，按</w:t>
      </w:r>
      <w:r>
        <w:rPr>
          <w:rFonts w:hint="eastAsia" w:ascii="宋体" w:hAnsi="宋体" w:cs="宋体"/>
          <w:szCs w:val="21"/>
          <w:lang w:eastAsia="zh-CN"/>
        </w:rPr>
        <w:t>询价</w:t>
      </w:r>
      <w:r>
        <w:rPr>
          <w:rFonts w:hint="eastAsia" w:ascii="宋体" w:hAnsi="宋体" w:cs="宋体"/>
          <w:szCs w:val="21"/>
        </w:rPr>
        <w:t>文件规定要求验收，</w:t>
      </w:r>
      <w:r>
        <w:rPr>
          <w:rFonts w:hint="eastAsia" w:ascii="宋体" w:hAnsi="宋体" w:cs="宋体"/>
          <w:szCs w:val="21"/>
          <w:lang w:eastAsia="zh-CN"/>
        </w:rPr>
        <w:t>询价</w:t>
      </w:r>
      <w:r>
        <w:rPr>
          <w:rFonts w:hint="eastAsia" w:ascii="宋体" w:hAnsi="宋体" w:cs="宋体"/>
          <w:szCs w:val="21"/>
        </w:rPr>
        <w:t>文件未规定部分，严格按照国家权威部门质检标准组织验收。没有国家标准、行业标准和企业标准的，按照通常标准或者符合合同目的的特定标准确定。所有货物（包括零部件）须为全新的、未使用过的原装正品。投标货物的主要技术参数、功能及配置必须满足</w:t>
      </w:r>
      <w:r>
        <w:rPr>
          <w:rFonts w:hint="eastAsia" w:ascii="宋体" w:hAnsi="宋体" w:cs="宋体"/>
          <w:szCs w:val="21"/>
          <w:lang w:eastAsia="zh-CN"/>
        </w:rPr>
        <w:t>询价</w:t>
      </w:r>
      <w:r>
        <w:rPr>
          <w:rFonts w:hint="eastAsia" w:ascii="宋体" w:hAnsi="宋体" w:cs="宋体"/>
          <w:szCs w:val="21"/>
        </w:rPr>
        <w:t>文件要求。主要货物的主要技术参数、功能及配置情况必须由</w:t>
      </w:r>
      <w:r>
        <w:rPr>
          <w:rFonts w:hint="eastAsia" w:ascii="宋体" w:hAnsi="宋体" w:cs="宋体"/>
          <w:szCs w:val="21"/>
          <w:lang w:eastAsia="zh-CN"/>
        </w:rPr>
        <w:t>供应商</w:t>
      </w:r>
      <w:r>
        <w:rPr>
          <w:rFonts w:hint="eastAsia" w:ascii="宋体" w:hAnsi="宋体" w:cs="宋体"/>
          <w:szCs w:val="21"/>
        </w:rPr>
        <w:t>提供国家相关检测机构出具的检验报告或生产厂家公开发布的资料等技术资料予以支持，没有技术资料支持的技术参数、功能及配置不能视为响应。（包括不限于：技术标准和实施程序、人员、设备等）</w:t>
      </w:r>
    </w:p>
    <w:p>
      <w:pPr>
        <w:spacing w:line="360" w:lineRule="auto"/>
        <w:ind w:firstLine="420" w:firstLineChars="200"/>
        <w:rPr>
          <w:rFonts w:ascii="宋体" w:hAnsi="宋体" w:cs="宋体"/>
          <w:szCs w:val="21"/>
        </w:rPr>
      </w:pPr>
      <w:r>
        <w:rPr>
          <w:rFonts w:hint="eastAsia" w:ascii="宋体" w:hAnsi="宋体" w:cs="宋体"/>
          <w:szCs w:val="21"/>
        </w:rPr>
        <w:t>（2）</w:t>
      </w:r>
      <w:r>
        <w:rPr>
          <w:rFonts w:hint="eastAsia" w:ascii="宋体" w:hAnsi="宋体" w:cs="宋体"/>
          <w:szCs w:val="21"/>
          <w:lang w:eastAsia="zh-CN"/>
        </w:rPr>
        <w:t>供应商</w:t>
      </w:r>
      <w:r>
        <w:rPr>
          <w:rFonts w:hint="eastAsia" w:ascii="宋体" w:hAnsi="宋体" w:cs="宋体"/>
          <w:szCs w:val="21"/>
        </w:rPr>
        <w:t>应保证所有货物质量符合技术标准和验收标准。</w:t>
      </w:r>
    </w:p>
    <w:p>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cs="宋体"/>
          <w:szCs w:val="21"/>
          <w:lang w:eastAsia="zh-CN"/>
        </w:rPr>
        <w:t>成交</w:t>
      </w:r>
      <w:r>
        <w:rPr>
          <w:rFonts w:hint="eastAsia" w:ascii="宋体" w:hAnsi="宋体" w:cs="宋体"/>
          <w:szCs w:val="21"/>
        </w:rPr>
        <w:t>人应选派专业人员到采购单位指定地点，对提供的货物在有关技术人员配合下对所有货物逐个进行查验，并对设备的性能进行实验和验收。</w:t>
      </w:r>
    </w:p>
    <w:p>
      <w:pPr>
        <w:spacing w:line="360" w:lineRule="auto"/>
        <w:ind w:firstLine="422" w:firstLineChars="200"/>
        <w:rPr>
          <w:rFonts w:ascii="宋体" w:hAnsi="宋体" w:cs="宋体"/>
          <w:b/>
          <w:szCs w:val="21"/>
        </w:rPr>
      </w:pPr>
      <w:r>
        <w:rPr>
          <w:rFonts w:hint="eastAsia" w:ascii="宋体" w:hAnsi="宋体" w:cs="宋体"/>
          <w:b/>
          <w:szCs w:val="21"/>
        </w:rPr>
        <w:t>5、售后服务：</w:t>
      </w:r>
    </w:p>
    <w:p>
      <w:pPr>
        <w:spacing w:line="360" w:lineRule="auto"/>
        <w:ind w:firstLine="420" w:firstLineChars="200"/>
        <w:rPr>
          <w:rFonts w:ascii="宋体" w:hAnsi="宋体" w:cs="宋体"/>
          <w:szCs w:val="21"/>
        </w:rPr>
      </w:pPr>
      <w:r>
        <w:rPr>
          <w:rFonts w:hint="eastAsia" w:ascii="宋体" w:hAnsi="宋体" w:cs="宋体"/>
          <w:szCs w:val="21"/>
        </w:rPr>
        <w:t>对采购单位的服务通知，供应商在接报后</w:t>
      </w:r>
      <w:r>
        <w:rPr>
          <w:rFonts w:hint="eastAsia" w:ascii="宋体" w:hAnsi="宋体" w:cs="宋体"/>
          <w:szCs w:val="21"/>
          <w:u w:val="single"/>
        </w:rPr>
        <w:t xml:space="preserve"> 24 </w:t>
      </w:r>
      <w:r>
        <w:rPr>
          <w:rFonts w:hint="eastAsia" w:ascii="宋体" w:hAnsi="宋体" w:cs="宋体"/>
          <w:szCs w:val="21"/>
        </w:rPr>
        <w:t>小时到达现场，</w:t>
      </w:r>
      <w:r>
        <w:rPr>
          <w:rFonts w:hint="eastAsia" w:ascii="宋体" w:hAnsi="宋体" w:cs="宋体"/>
          <w:szCs w:val="21"/>
          <w:u w:val="single"/>
        </w:rPr>
        <w:t xml:space="preserve"> 12 </w:t>
      </w:r>
      <w:r>
        <w:rPr>
          <w:rFonts w:hint="eastAsia" w:ascii="宋体" w:hAnsi="宋体" w:cs="宋体"/>
          <w:szCs w:val="21"/>
        </w:rPr>
        <w:t>小时内处理完毕。若在</w:t>
      </w:r>
      <w:r>
        <w:rPr>
          <w:rFonts w:hint="eastAsia" w:ascii="宋体" w:hAnsi="宋体" w:cs="宋体"/>
          <w:szCs w:val="21"/>
          <w:u w:val="single"/>
        </w:rPr>
        <w:t xml:space="preserve"> 12 </w:t>
      </w:r>
      <w:r>
        <w:rPr>
          <w:rFonts w:hint="eastAsia" w:ascii="宋体" w:hAnsi="宋体" w:cs="宋体"/>
          <w:szCs w:val="21"/>
        </w:rPr>
        <w:t>小时内仍未能有效解决，供应商须免费提供同档次的设备予采购单位临时使用。</w:t>
      </w:r>
    </w:p>
    <w:p>
      <w:pPr>
        <w:spacing w:line="360" w:lineRule="auto"/>
        <w:ind w:firstLine="422"/>
        <w:rPr>
          <w:rFonts w:ascii="宋体" w:hAnsi="宋体" w:cs="宋体"/>
          <w:b/>
          <w:szCs w:val="21"/>
        </w:rPr>
      </w:pPr>
      <w:r>
        <w:rPr>
          <w:rFonts w:hint="eastAsia" w:ascii="宋体" w:hAnsi="宋体" w:cs="宋体"/>
          <w:b/>
          <w:szCs w:val="21"/>
        </w:rPr>
        <w:t>6、付款条件：</w:t>
      </w:r>
    </w:p>
    <w:p>
      <w:pPr>
        <w:spacing w:line="360" w:lineRule="auto"/>
        <w:ind w:firstLine="422"/>
        <w:rPr>
          <w:rFonts w:ascii="宋体" w:hAnsi="宋体"/>
          <w:szCs w:val="21"/>
        </w:rPr>
      </w:pPr>
      <w:r>
        <w:rPr>
          <w:rFonts w:hint="eastAsia" w:ascii="宋体" w:hAnsi="宋体" w:cs="宋体"/>
          <w:szCs w:val="21"/>
        </w:rPr>
        <w:t>本项目在安装调试并经验收合格后7个工作日内，付至合同总价款的95%，余下5%待售后服务期满无问题后一次性付清，不计利息。</w:t>
      </w:r>
    </w:p>
    <w:p>
      <w:pPr>
        <w:spacing w:line="20" w:lineRule="exact"/>
        <w:rPr>
          <w:color w:val="auto"/>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等线">
    <w:altName w:val="宋体"/>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15" w:rightChars="150"/>
      <w:jc w:val="right"/>
      <w:rPr>
        <w:rFonts w:ascii="宋体" w:hAnsi="宋体"/>
        <w:sz w:val="24"/>
        <w:szCs w:val="24"/>
      </w:rPr>
    </w:pPr>
    <w:r>
      <w:rPr>
        <w:rFonts w:hint="eastAsia" w:ascii="宋体" w:hAnsi="宋体"/>
        <w:sz w:val="24"/>
        <w:szCs w:val="24"/>
      </w:rPr>
      <w:t xml:space="preserve">— </w:t>
    </w: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8</w:t>
    </w:r>
    <w:r>
      <w:rPr>
        <w:rFonts w:ascii="宋体" w:hAnsi="宋体"/>
        <w:sz w:val="28"/>
        <w:szCs w:val="28"/>
      </w:rPr>
      <w:fldChar w:fldCharType="end"/>
    </w:r>
    <w:r>
      <w:rPr>
        <w:rFonts w:hint="eastAsia" w:ascii="宋体" w:hAnsi="宋体"/>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firstLineChars="150"/>
      <w:rPr>
        <w:rFonts w:ascii="宋体" w:hAnsi="宋体"/>
        <w:sz w:val="24"/>
        <w:szCs w:val="24"/>
      </w:rPr>
    </w:pPr>
    <w:r>
      <w:rPr>
        <w:rFonts w:hint="eastAsia" w:ascii="宋体" w:hAnsi="宋体"/>
        <w:kern w:val="0"/>
        <w:sz w:val="24"/>
        <w:szCs w:val="24"/>
      </w:rPr>
      <w:t xml:space="preserve">— </w:t>
    </w:r>
    <w:r>
      <w:rPr>
        <w:rFonts w:hint="eastAsia" w:ascii="宋体" w:hAnsi="宋体"/>
        <w:kern w:val="0"/>
        <w:sz w:val="28"/>
        <w:szCs w:val="28"/>
      </w:rPr>
      <w:fldChar w:fldCharType="begin"/>
    </w:r>
    <w:r>
      <w:rPr>
        <w:rFonts w:hint="eastAsia" w:ascii="宋体" w:hAnsi="宋体"/>
        <w:kern w:val="0"/>
        <w:sz w:val="28"/>
        <w:szCs w:val="28"/>
      </w:rPr>
      <w:instrText xml:space="preserve"> PAGE </w:instrText>
    </w:r>
    <w:r>
      <w:rPr>
        <w:rFonts w:hint="eastAsia" w:ascii="宋体" w:hAnsi="宋体"/>
        <w:kern w:val="0"/>
        <w:sz w:val="28"/>
        <w:szCs w:val="28"/>
      </w:rPr>
      <w:fldChar w:fldCharType="separate"/>
    </w:r>
    <w:r>
      <w:rPr>
        <w:rFonts w:ascii="宋体" w:hAnsi="宋体"/>
        <w:kern w:val="0"/>
        <w:sz w:val="28"/>
        <w:szCs w:val="28"/>
      </w:rPr>
      <w:t>2</w:t>
    </w:r>
    <w:r>
      <w:rPr>
        <w:rFonts w:hint="eastAsia" w:ascii="宋体" w:hAnsi="宋体"/>
        <w:kern w:val="0"/>
        <w:sz w:val="28"/>
        <w:szCs w:val="28"/>
      </w:rPr>
      <w:fldChar w:fldCharType="end"/>
    </w:r>
    <w:r>
      <w:rPr>
        <w:rFonts w:hint="eastAsia" w:ascii="宋体" w:hAnsi="宋体"/>
        <w:kern w:val="0"/>
        <w:sz w:val="24"/>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FC412FD"/>
    <w:rsid w:val="00052250"/>
    <w:rsid w:val="00060F1C"/>
    <w:rsid w:val="0009203C"/>
    <w:rsid w:val="000C2166"/>
    <w:rsid w:val="001448D5"/>
    <w:rsid w:val="0015314C"/>
    <w:rsid w:val="001720B1"/>
    <w:rsid w:val="00180EC6"/>
    <w:rsid w:val="001C4D67"/>
    <w:rsid w:val="001C5B3D"/>
    <w:rsid w:val="001F7D3B"/>
    <w:rsid w:val="002153AD"/>
    <w:rsid w:val="002344E1"/>
    <w:rsid w:val="002B7035"/>
    <w:rsid w:val="002D5C36"/>
    <w:rsid w:val="002E1780"/>
    <w:rsid w:val="00317B57"/>
    <w:rsid w:val="00373D4E"/>
    <w:rsid w:val="00375141"/>
    <w:rsid w:val="00386B68"/>
    <w:rsid w:val="003A56CA"/>
    <w:rsid w:val="003E2852"/>
    <w:rsid w:val="003F5147"/>
    <w:rsid w:val="0040371B"/>
    <w:rsid w:val="00444574"/>
    <w:rsid w:val="0047121A"/>
    <w:rsid w:val="00495720"/>
    <w:rsid w:val="004A5261"/>
    <w:rsid w:val="004B715E"/>
    <w:rsid w:val="00512B40"/>
    <w:rsid w:val="00587F49"/>
    <w:rsid w:val="00590D65"/>
    <w:rsid w:val="0059764D"/>
    <w:rsid w:val="005F10FE"/>
    <w:rsid w:val="00617F85"/>
    <w:rsid w:val="00633460"/>
    <w:rsid w:val="00654130"/>
    <w:rsid w:val="00675D26"/>
    <w:rsid w:val="0067693B"/>
    <w:rsid w:val="00683F2D"/>
    <w:rsid w:val="006A2DC5"/>
    <w:rsid w:val="006C21D0"/>
    <w:rsid w:val="006F6F86"/>
    <w:rsid w:val="007163CF"/>
    <w:rsid w:val="00721823"/>
    <w:rsid w:val="00737ED7"/>
    <w:rsid w:val="00753999"/>
    <w:rsid w:val="007F7E84"/>
    <w:rsid w:val="0082017F"/>
    <w:rsid w:val="00851B56"/>
    <w:rsid w:val="008777D2"/>
    <w:rsid w:val="0088055C"/>
    <w:rsid w:val="008A37F0"/>
    <w:rsid w:val="008B7F9E"/>
    <w:rsid w:val="00946D08"/>
    <w:rsid w:val="00954FDD"/>
    <w:rsid w:val="00973C4C"/>
    <w:rsid w:val="00975CEF"/>
    <w:rsid w:val="009A129C"/>
    <w:rsid w:val="009B6B4F"/>
    <w:rsid w:val="00A214CD"/>
    <w:rsid w:val="00A226A6"/>
    <w:rsid w:val="00AB75C2"/>
    <w:rsid w:val="00AC2D11"/>
    <w:rsid w:val="00BB272D"/>
    <w:rsid w:val="00BB3D6D"/>
    <w:rsid w:val="00BC3F31"/>
    <w:rsid w:val="00BD4AF0"/>
    <w:rsid w:val="00BF3BE3"/>
    <w:rsid w:val="00C00FCF"/>
    <w:rsid w:val="00C038C7"/>
    <w:rsid w:val="00C12ECF"/>
    <w:rsid w:val="00C803E7"/>
    <w:rsid w:val="00CA62AC"/>
    <w:rsid w:val="00D659CF"/>
    <w:rsid w:val="00D8097D"/>
    <w:rsid w:val="00DF2C83"/>
    <w:rsid w:val="00E204E5"/>
    <w:rsid w:val="00E266C4"/>
    <w:rsid w:val="00E40C4C"/>
    <w:rsid w:val="00E4382A"/>
    <w:rsid w:val="00E455DF"/>
    <w:rsid w:val="00E750A1"/>
    <w:rsid w:val="00E859B4"/>
    <w:rsid w:val="00EB7DB8"/>
    <w:rsid w:val="00F02D4C"/>
    <w:rsid w:val="00F07216"/>
    <w:rsid w:val="00F61C0C"/>
    <w:rsid w:val="00FB5327"/>
    <w:rsid w:val="00FE2E28"/>
    <w:rsid w:val="04196DBB"/>
    <w:rsid w:val="052E0DEE"/>
    <w:rsid w:val="05F31E55"/>
    <w:rsid w:val="0A702213"/>
    <w:rsid w:val="0A91283D"/>
    <w:rsid w:val="0B062839"/>
    <w:rsid w:val="0BC1456B"/>
    <w:rsid w:val="0BF85F2C"/>
    <w:rsid w:val="0C782822"/>
    <w:rsid w:val="0E9A6185"/>
    <w:rsid w:val="10A8345F"/>
    <w:rsid w:val="11537722"/>
    <w:rsid w:val="11842FD2"/>
    <w:rsid w:val="12297FE5"/>
    <w:rsid w:val="14051E13"/>
    <w:rsid w:val="16F441D2"/>
    <w:rsid w:val="189C68FA"/>
    <w:rsid w:val="19556C68"/>
    <w:rsid w:val="1A126ECE"/>
    <w:rsid w:val="1A3B4A3B"/>
    <w:rsid w:val="1A6B788C"/>
    <w:rsid w:val="1A730721"/>
    <w:rsid w:val="1B247F09"/>
    <w:rsid w:val="1BD50644"/>
    <w:rsid w:val="1C9F57B2"/>
    <w:rsid w:val="1CD83161"/>
    <w:rsid w:val="1DA7046E"/>
    <w:rsid w:val="1EA16794"/>
    <w:rsid w:val="1FC412FD"/>
    <w:rsid w:val="242B01C2"/>
    <w:rsid w:val="26041B3B"/>
    <w:rsid w:val="26153FA4"/>
    <w:rsid w:val="278B6D79"/>
    <w:rsid w:val="28263B8E"/>
    <w:rsid w:val="28986CBF"/>
    <w:rsid w:val="2B9F3968"/>
    <w:rsid w:val="2E657BF1"/>
    <w:rsid w:val="2F8E46E2"/>
    <w:rsid w:val="30E56A63"/>
    <w:rsid w:val="326F433F"/>
    <w:rsid w:val="370B0CE3"/>
    <w:rsid w:val="37207C2C"/>
    <w:rsid w:val="38B021E1"/>
    <w:rsid w:val="398F6679"/>
    <w:rsid w:val="3A756E14"/>
    <w:rsid w:val="3AFD5CC5"/>
    <w:rsid w:val="3DBE2AA1"/>
    <w:rsid w:val="3EA85FE9"/>
    <w:rsid w:val="3F1B7B71"/>
    <w:rsid w:val="40442A03"/>
    <w:rsid w:val="4222565C"/>
    <w:rsid w:val="424024A4"/>
    <w:rsid w:val="42BF77F2"/>
    <w:rsid w:val="433523CD"/>
    <w:rsid w:val="43F97E27"/>
    <w:rsid w:val="440931CA"/>
    <w:rsid w:val="46F933B2"/>
    <w:rsid w:val="4CBB355B"/>
    <w:rsid w:val="4CEB402C"/>
    <w:rsid w:val="52FD73D4"/>
    <w:rsid w:val="585B4636"/>
    <w:rsid w:val="5B065C56"/>
    <w:rsid w:val="5BFC2C1A"/>
    <w:rsid w:val="5C7C6995"/>
    <w:rsid w:val="5D7F1C0C"/>
    <w:rsid w:val="5F7E1F1A"/>
    <w:rsid w:val="621A356A"/>
    <w:rsid w:val="64417A15"/>
    <w:rsid w:val="651B4242"/>
    <w:rsid w:val="66CC4F26"/>
    <w:rsid w:val="6AB45F9D"/>
    <w:rsid w:val="6EA82A1F"/>
    <w:rsid w:val="6FA93019"/>
    <w:rsid w:val="73936986"/>
    <w:rsid w:val="743E0483"/>
    <w:rsid w:val="74631DFE"/>
    <w:rsid w:val="75023592"/>
    <w:rsid w:val="763160F6"/>
    <w:rsid w:val="763B2E93"/>
    <w:rsid w:val="775F7BD2"/>
    <w:rsid w:val="78FA0CCD"/>
    <w:rsid w:val="7B0B3073"/>
    <w:rsid w:val="7C3A400E"/>
    <w:rsid w:val="7C6461C4"/>
    <w:rsid w:val="7CF14537"/>
    <w:rsid w:val="7D5545B5"/>
    <w:rsid w:val="7DB87A72"/>
    <w:rsid w:val="7DCC33DC"/>
    <w:rsid w:val="7E9436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99" w:name="envelope return"/>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qFormat="1" w:unhideWhenUsed="0" w:uiPriority="99"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99"/>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17"/>
    <w:semiHidden/>
    <w:qFormat/>
    <w:uiPriority w:val="99"/>
    <w:pPr>
      <w:spacing w:after="120"/>
      <w:ind w:left="420" w:leftChars="200" w:firstLine="420" w:firstLineChars="200"/>
    </w:pPr>
    <w:rPr>
      <w:rFonts w:ascii="Times New Roman" w:hAnsi="Times New Roman" w:eastAsia="宋体"/>
      <w:sz w:val="21"/>
      <w:szCs w:val="24"/>
    </w:rPr>
  </w:style>
  <w:style w:type="paragraph" w:styleId="3">
    <w:name w:val="Body Text Indent"/>
    <w:basedOn w:val="1"/>
    <w:next w:val="4"/>
    <w:link w:val="16"/>
    <w:semiHidden/>
    <w:qFormat/>
    <w:uiPriority w:val="99"/>
    <w:pPr>
      <w:ind w:firstLine="645"/>
    </w:pPr>
    <w:rPr>
      <w:rFonts w:ascii="Arial" w:hAnsi="Arial" w:eastAsia="仿宋_GB2312"/>
      <w:sz w:val="28"/>
      <w:szCs w:val="20"/>
    </w:rPr>
  </w:style>
  <w:style w:type="paragraph" w:styleId="4">
    <w:name w:val="envelope return"/>
    <w:basedOn w:val="1"/>
    <w:semiHidden/>
    <w:qFormat/>
    <w:uiPriority w:val="99"/>
    <w:pPr>
      <w:snapToGrid w:val="0"/>
    </w:pPr>
    <w:rPr>
      <w:rFonts w:ascii="Arial" w:hAnsi="Arial" w:cs="Arial"/>
    </w:rPr>
  </w:style>
  <w:style w:type="paragraph" w:styleId="5">
    <w:name w:val="annotation text"/>
    <w:basedOn w:val="1"/>
    <w:link w:val="18"/>
    <w:qFormat/>
    <w:uiPriority w:val="99"/>
    <w:pPr>
      <w:jc w:val="left"/>
    </w:pPr>
  </w:style>
  <w:style w:type="paragraph" w:styleId="6">
    <w:name w:val="footer"/>
    <w:basedOn w:val="1"/>
    <w:link w:val="19"/>
    <w:qFormat/>
    <w:uiPriority w:val="99"/>
    <w:pPr>
      <w:tabs>
        <w:tab w:val="center" w:pos="4153"/>
        <w:tab w:val="right" w:pos="8306"/>
      </w:tabs>
      <w:snapToGrid w:val="0"/>
      <w:jc w:val="left"/>
    </w:pPr>
    <w:rPr>
      <w:sz w:val="18"/>
    </w:rPr>
  </w:style>
  <w:style w:type="paragraph" w:styleId="7">
    <w:name w:val="header"/>
    <w:basedOn w:val="1"/>
    <w:link w:val="2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jc w:val="left"/>
    </w:pPr>
    <w:rPr>
      <w:kern w:val="0"/>
      <w:sz w:val="24"/>
    </w:rPr>
  </w:style>
  <w:style w:type="character" w:styleId="10">
    <w:name w:val="Strong"/>
    <w:basedOn w:val="9"/>
    <w:qFormat/>
    <w:uiPriority w:val="99"/>
    <w:rPr>
      <w:rFonts w:cs="Times New Roman"/>
      <w:b/>
    </w:rPr>
  </w:style>
  <w:style w:type="character" w:styleId="11">
    <w:name w:val="page number"/>
    <w:basedOn w:val="9"/>
    <w:qFormat/>
    <w:locked/>
    <w:uiPriority w:val="0"/>
  </w:style>
  <w:style w:type="character" w:styleId="12">
    <w:name w:val="FollowedHyperlink"/>
    <w:basedOn w:val="9"/>
    <w:qFormat/>
    <w:uiPriority w:val="99"/>
    <w:rPr>
      <w:rFonts w:cs="Times New Roman"/>
      <w:color w:val="03515D"/>
      <w:u w:val="none"/>
    </w:rPr>
  </w:style>
  <w:style w:type="character" w:styleId="13">
    <w:name w:val="Hyperlink"/>
    <w:basedOn w:val="9"/>
    <w:qFormat/>
    <w:uiPriority w:val="99"/>
    <w:rPr>
      <w:rFonts w:cs="Times New Roman"/>
      <w:color w:val="0000FF"/>
      <w:u w:val="none"/>
    </w:rPr>
  </w:style>
  <w:style w:type="table" w:styleId="15">
    <w:name w:val="Table Grid"/>
    <w:basedOn w:val="14"/>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Body Text Indent Char"/>
    <w:basedOn w:val="9"/>
    <w:link w:val="3"/>
    <w:semiHidden/>
    <w:qFormat/>
    <w:locked/>
    <w:uiPriority w:val="99"/>
    <w:rPr>
      <w:rFonts w:ascii="Calibri" w:hAnsi="Calibri" w:cs="Times New Roman"/>
      <w:sz w:val="24"/>
      <w:szCs w:val="24"/>
    </w:rPr>
  </w:style>
  <w:style w:type="character" w:customStyle="1" w:styleId="17">
    <w:name w:val="Body Text First Indent 2 Char"/>
    <w:basedOn w:val="16"/>
    <w:link w:val="2"/>
    <w:semiHidden/>
    <w:qFormat/>
    <w:locked/>
    <w:uiPriority w:val="99"/>
  </w:style>
  <w:style w:type="character" w:customStyle="1" w:styleId="18">
    <w:name w:val="Comment Text Char"/>
    <w:basedOn w:val="9"/>
    <w:link w:val="5"/>
    <w:semiHidden/>
    <w:qFormat/>
    <w:locked/>
    <w:uiPriority w:val="99"/>
    <w:rPr>
      <w:rFonts w:ascii="Calibri" w:hAnsi="Calibri" w:cs="Times New Roman"/>
      <w:sz w:val="24"/>
      <w:szCs w:val="24"/>
    </w:rPr>
  </w:style>
  <w:style w:type="character" w:customStyle="1" w:styleId="19">
    <w:name w:val="Footer Char"/>
    <w:basedOn w:val="9"/>
    <w:link w:val="6"/>
    <w:semiHidden/>
    <w:qFormat/>
    <w:locked/>
    <w:uiPriority w:val="99"/>
    <w:rPr>
      <w:rFonts w:ascii="Calibri" w:hAnsi="Calibri" w:cs="Times New Roman"/>
      <w:sz w:val="18"/>
      <w:szCs w:val="18"/>
    </w:rPr>
  </w:style>
  <w:style w:type="character" w:customStyle="1" w:styleId="20">
    <w:name w:val="Header Char"/>
    <w:basedOn w:val="9"/>
    <w:link w:val="7"/>
    <w:semiHidden/>
    <w:qFormat/>
    <w:locked/>
    <w:uiPriority w:val="99"/>
    <w:rPr>
      <w:rFonts w:ascii="Calibri" w:hAnsi="Calibri" w:cs="Times New Roman"/>
      <w:sz w:val="18"/>
      <w:szCs w:val="18"/>
    </w:rPr>
  </w:style>
  <w:style w:type="paragraph" w:customStyle="1" w:styleId="21">
    <w:name w:val="List Paragraph"/>
    <w:basedOn w:val="1"/>
    <w:qFormat/>
    <w:uiPriority w:val="99"/>
    <w:pPr>
      <w:ind w:left="214" w:firstLine="434"/>
    </w:pPr>
    <w:rPr>
      <w:rFonts w:ascii="宋体" w:hAnsi="宋体" w:cs="宋体"/>
      <w:lang w:val="zh-CN"/>
    </w:rPr>
  </w:style>
  <w:style w:type="paragraph" w:customStyle="1" w:styleId="22">
    <w:name w:val="列出段落1"/>
    <w:basedOn w:val="1"/>
    <w:qFormat/>
    <w:uiPriority w:val="99"/>
    <w:pPr>
      <w:ind w:firstLine="420" w:firstLineChars="200"/>
    </w:pPr>
    <w:rPr>
      <w:szCs w:val="20"/>
    </w:rPr>
  </w:style>
  <w:style w:type="character" w:customStyle="1" w:styleId="23">
    <w:name w:val="red1"/>
    <w:basedOn w:val="9"/>
    <w:qFormat/>
    <w:uiPriority w:val="99"/>
    <w:rPr>
      <w:rFonts w:cs="Times New Roman"/>
      <w:color w:val="FF0000"/>
    </w:rPr>
  </w:style>
  <w:style w:type="paragraph" w:customStyle="1" w:styleId="24">
    <w:name w:val="List Paragraph1"/>
    <w:basedOn w:val="1"/>
    <w:qFormat/>
    <w:uiPriority w:val="99"/>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7</Pages>
  <Words>605</Words>
  <Characters>3453</Characters>
  <Lines>0</Lines>
  <Paragraphs>0</Paragraphs>
  <TotalTime>0</TotalTime>
  <ScaleCrop>false</ScaleCrop>
  <LinksUpToDate>false</LinksUpToDate>
  <CharactersWithSpaces>0</CharactersWithSpaces>
  <Application>WPS Office_10.1.0.6395_F1E327BC-269C-435d-A152-05C5408002CA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2019-11-08T08:56:00Z</dcterms:created>
  <dc:creator>NTKO</dc:creator>
  <cp:lastModifiedBy>Administrator</cp:lastModifiedBy>
  <cp:lastPrinted>2020-09-05T21:06:00Z</cp:lastPrinted>
  <dcterms:modified xsi:type="dcterms:W3CDTF">2020-10-09T12:14:04Z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