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napToGrid w:val="0"/>
        <w:spacing w:line="360" w:lineRule="auto"/>
        <w:jc w:val="center"/>
        <w:rPr>
          <w:rFonts w:hint="eastAsia" w:ascii="方正公文小标宋" w:hAnsi="方正公文小标宋" w:eastAsia="方正公文小标宋" w:cs="方正公文小标宋"/>
          <w:i w:val="0"/>
          <w:iCs w:val="0"/>
          <w:caps w:val="0"/>
          <w:spacing w:val="0"/>
          <w:sz w:val="44"/>
          <w:szCs w:val="44"/>
          <w:shd w:val="clear" w:fill="FFFFFF"/>
          <w:lang w:eastAsia="zh-CN"/>
        </w:rPr>
      </w:pPr>
      <w:r>
        <w:rPr>
          <w:rFonts w:hint="eastAsia" w:ascii="方正公文小标宋" w:hAnsi="方正公文小标宋" w:eastAsia="方正公文小标宋" w:cs="方正公文小标宋"/>
          <w:i w:val="0"/>
          <w:iCs w:val="0"/>
          <w:caps w:val="0"/>
          <w:spacing w:val="0"/>
          <w:sz w:val="44"/>
          <w:szCs w:val="44"/>
          <w:shd w:val="clear" w:fill="FFFFFF"/>
        </w:rPr>
        <w:t>池州职业技术学院</w:t>
      </w:r>
      <w:r>
        <w:rPr>
          <w:rFonts w:hint="eastAsia" w:ascii="方正公文小标宋" w:hAnsi="方正公文小标宋" w:eastAsia="方正公文小标宋" w:cs="方正公文小标宋"/>
          <w:i w:val="0"/>
          <w:iCs w:val="0"/>
          <w:caps w:val="0"/>
          <w:spacing w:val="0"/>
          <w:sz w:val="44"/>
          <w:szCs w:val="44"/>
          <w:shd w:val="clear" w:fill="FFFFFF"/>
          <w:lang w:val="en-US" w:eastAsia="zh-CN"/>
        </w:rPr>
        <w:t>小型基建</w:t>
      </w:r>
      <w:r>
        <w:rPr>
          <w:rFonts w:hint="eastAsia" w:ascii="方正公文小标宋" w:hAnsi="方正公文小标宋" w:eastAsia="方正公文小标宋" w:cs="方正公文小标宋"/>
          <w:i w:val="0"/>
          <w:iCs w:val="0"/>
          <w:caps w:val="0"/>
          <w:spacing w:val="0"/>
          <w:sz w:val="44"/>
          <w:szCs w:val="44"/>
          <w:shd w:val="clear" w:fill="FFFFFF"/>
        </w:rPr>
        <w:t>维修</w:t>
      </w:r>
      <w:r>
        <w:rPr>
          <w:rFonts w:hint="eastAsia" w:ascii="方正公文小标宋" w:hAnsi="方正公文小标宋" w:eastAsia="方正公文小标宋" w:cs="方正公文小标宋"/>
          <w:i w:val="0"/>
          <w:iCs w:val="0"/>
          <w:caps w:val="0"/>
          <w:spacing w:val="0"/>
          <w:sz w:val="44"/>
          <w:szCs w:val="44"/>
          <w:shd w:val="clear" w:fill="FFFFFF"/>
          <w:lang w:val="en-US" w:eastAsia="zh-CN"/>
        </w:rPr>
        <w:t>工程</w:t>
      </w:r>
    </w:p>
    <w:p>
      <w:pPr>
        <w:numPr>
          <w:ilvl w:val="0"/>
          <w:numId w:val="0"/>
        </w:numPr>
        <w:snapToGrid w:val="0"/>
        <w:spacing w:line="360" w:lineRule="auto"/>
        <w:jc w:val="center"/>
        <w:rPr>
          <w:rFonts w:hint="eastAsia" w:ascii="方正公文小标宋" w:hAnsi="方正公文小标宋" w:eastAsia="方正公文小标宋" w:cs="方正公文小标宋"/>
          <w:i w:val="0"/>
          <w:iCs w:val="0"/>
          <w:caps w:val="0"/>
          <w:color w:val="auto"/>
          <w:spacing w:val="0"/>
          <w:sz w:val="44"/>
          <w:szCs w:val="44"/>
          <w:lang w:val="en-US" w:eastAsia="zh-CN"/>
        </w:rPr>
      </w:pPr>
      <w:r>
        <w:rPr>
          <w:rFonts w:hint="eastAsia" w:ascii="方正公文小标宋" w:hAnsi="方正公文小标宋" w:eastAsia="方正公文小标宋" w:cs="方正公文小标宋"/>
          <w:i w:val="0"/>
          <w:iCs w:val="0"/>
          <w:caps w:val="0"/>
          <w:spacing w:val="0"/>
          <w:sz w:val="44"/>
          <w:szCs w:val="44"/>
          <w:shd w:val="clear" w:fill="FFFFFF"/>
          <w:lang w:val="en-US" w:eastAsia="zh-CN"/>
        </w:rPr>
        <w:t>设计服务采购项目需求书</w:t>
      </w:r>
    </w:p>
    <w:p>
      <w:pPr>
        <w:numPr>
          <w:ilvl w:val="0"/>
          <w:numId w:val="0"/>
        </w:numPr>
        <w:snapToGrid w:val="0"/>
        <w:spacing w:line="360" w:lineRule="auto"/>
        <w:ind w:firstLine="560" w:firstLineChars="200"/>
        <w:rPr>
          <w:rFonts w:hint="eastAsia" w:ascii="仿宋_GB2312" w:hAnsi="宋体" w:eastAsia="仿宋_GB2312" w:cs="仿宋_GB2312"/>
          <w:i w:val="0"/>
          <w:iCs w:val="0"/>
          <w:caps w:val="0"/>
          <w:color w:val="auto"/>
          <w:spacing w:val="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一、</w:t>
      </w:r>
      <w:bookmarkStart w:id="0" w:name="_Toc515983543"/>
      <w:bookmarkStart w:id="1" w:name="_Toc525891581"/>
      <w:r>
        <w:rPr>
          <w:rFonts w:hint="eastAsia" w:ascii="黑体" w:hAnsi="黑体" w:eastAsia="黑体" w:cs="黑体"/>
          <w:i w:val="0"/>
          <w:iCs w:val="0"/>
          <w:caps w:val="0"/>
          <w:color w:val="auto"/>
          <w:spacing w:val="0"/>
          <w:sz w:val="32"/>
          <w:szCs w:val="32"/>
        </w:rPr>
        <w:t>项目</w:t>
      </w:r>
      <w:bookmarkEnd w:id="0"/>
      <w:bookmarkEnd w:id="1"/>
      <w:r>
        <w:rPr>
          <w:rFonts w:hint="eastAsia" w:ascii="黑体" w:hAnsi="黑体" w:eastAsia="黑体" w:cs="黑体"/>
          <w:i w:val="0"/>
          <w:iCs w:val="0"/>
          <w:caps w:val="0"/>
          <w:color w:val="auto"/>
          <w:spacing w:val="0"/>
          <w:sz w:val="32"/>
          <w:szCs w:val="32"/>
        </w:rPr>
        <w:t>概况</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池州职业技术学院</w:t>
      </w:r>
      <w:r>
        <w:rPr>
          <w:rFonts w:hint="eastAsia" w:ascii="仿宋" w:hAnsi="仿宋" w:eastAsia="仿宋" w:cs="仿宋"/>
          <w:i w:val="0"/>
          <w:iCs w:val="0"/>
          <w:caps w:val="0"/>
          <w:color w:val="auto"/>
          <w:spacing w:val="0"/>
          <w:sz w:val="32"/>
          <w:szCs w:val="32"/>
        </w:rPr>
        <w:t>2024年</w:t>
      </w:r>
      <w:r>
        <w:rPr>
          <w:rFonts w:hint="eastAsia" w:ascii="仿宋" w:hAnsi="仿宋" w:eastAsia="仿宋" w:cs="仿宋"/>
          <w:i w:val="0"/>
          <w:iCs w:val="0"/>
          <w:caps w:val="0"/>
          <w:color w:val="auto"/>
          <w:spacing w:val="0"/>
          <w:sz w:val="32"/>
          <w:szCs w:val="32"/>
          <w:lang w:val="en-US" w:eastAsia="zh-CN"/>
        </w:rPr>
        <w:t>拟</w:t>
      </w:r>
      <w:r>
        <w:rPr>
          <w:rFonts w:hint="eastAsia" w:ascii="仿宋" w:hAnsi="仿宋" w:eastAsia="仿宋" w:cs="仿宋"/>
          <w:i w:val="0"/>
          <w:iCs w:val="0"/>
          <w:caps w:val="0"/>
          <w:color w:val="auto"/>
          <w:spacing w:val="0"/>
          <w:sz w:val="32"/>
          <w:szCs w:val="32"/>
        </w:rPr>
        <w:t>对尚智楼、尚文楼5间阶梯教室进行翻新改造，包括室内粉刷出新、门窗和课桌椅拆除重换、电路改造及教学设备更新等；对行政楼老旧吊顶和门窗拆除重换、墙面修复、卫生间改造及钢结构连廊维修除锈等</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以及其他小型基建维修项目</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以上以采购人最终确定的工程内容为准</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，现需采购设计服务，服务期一年。</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640" w:firstLineChars="200"/>
        <w:textAlignment w:val="auto"/>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t>最高投标限价</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黑体" w:hAnsi="黑体" w:eastAsia="黑体" w:cs="黑体"/>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工程造价的4.5%（本项目采取费率报价）</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lang w:val="en-US" w:eastAsia="zh-CN"/>
        </w:rPr>
        <w:t>三</w:t>
      </w:r>
      <w:r>
        <w:rPr>
          <w:rFonts w:hint="eastAsia" w:ascii="黑体" w:hAnsi="黑体" w:eastAsia="黑体" w:cs="黑体"/>
          <w:i w:val="0"/>
          <w:iCs w:val="0"/>
          <w:caps w:val="0"/>
          <w:color w:val="auto"/>
          <w:spacing w:val="0"/>
          <w:sz w:val="32"/>
          <w:szCs w:val="32"/>
        </w:rPr>
        <w:t>、投标供应商资格</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1</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符合《中华人民共和</w:t>
      </w:r>
      <w:bookmarkStart w:id="2" w:name="_GoBack"/>
      <w:bookmarkEnd w:id="2"/>
      <w:r>
        <w:rPr>
          <w:rFonts w:hint="eastAsia" w:ascii="仿宋" w:hAnsi="仿宋" w:eastAsia="仿宋" w:cs="仿宋"/>
          <w:i w:val="0"/>
          <w:iCs w:val="0"/>
          <w:caps w:val="0"/>
          <w:color w:val="auto"/>
          <w:spacing w:val="0"/>
          <w:sz w:val="32"/>
          <w:szCs w:val="32"/>
        </w:rPr>
        <w:t>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rPr>
        <w:t>2</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本项目</w:t>
      </w:r>
      <w:r>
        <w:rPr>
          <w:rFonts w:hint="eastAsia" w:ascii="仿宋" w:hAnsi="仿宋" w:eastAsia="仿宋" w:cs="仿宋"/>
          <w:i w:val="0"/>
          <w:iCs w:val="0"/>
          <w:caps w:val="0"/>
          <w:color w:val="auto"/>
          <w:spacing w:val="0"/>
          <w:sz w:val="32"/>
          <w:szCs w:val="32"/>
          <w:lang w:val="en-US" w:eastAsia="zh-CN"/>
        </w:rPr>
        <w:t>不</w:t>
      </w:r>
      <w:r>
        <w:rPr>
          <w:rFonts w:hint="eastAsia" w:ascii="仿宋" w:hAnsi="仿宋" w:eastAsia="仿宋" w:cs="仿宋"/>
          <w:i w:val="0"/>
          <w:iCs w:val="0"/>
          <w:caps w:val="0"/>
          <w:color w:val="auto"/>
          <w:spacing w:val="0"/>
          <w:sz w:val="32"/>
          <w:szCs w:val="32"/>
        </w:rPr>
        <w:t>接受联合体投标</w:t>
      </w:r>
      <w:r>
        <w:rPr>
          <w:rFonts w:hint="eastAsia" w:ascii="仿宋" w:hAnsi="仿宋" w:eastAsia="仿宋" w:cs="仿宋"/>
          <w:i w:val="0"/>
          <w:iCs w:val="0"/>
          <w:caps w:val="0"/>
          <w:color w:val="auto"/>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3</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供应商存在以下不良信用记录情形之一的，不得推荐为中标候选供应商，不得确定为中标供应商：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1</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供应商被人民法院列入失信被执行人的；</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2</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供应商或其法定代表人或拟派项目经理（项目负责人）被人民检察院列入行贿犯罪档案的；</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3</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供应商被工商行政管理部门列入企业经营异常名录的；</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4</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供应商被税务部门列入重大税收违法案件当事人名单的；</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5</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供应商被政府采购监管部门列入政府采购严重违法失信行为记录名单</w:t>
      </w:r>
      <w:r>
        <w:rPr>
          <w:rFonts w:hint="eastAsia" w:ascii="仿宋" w:hAnsi="仿宋" w:eastAsia="仿宋" w:cs="仿宋"/>
          <w:i w:val="0"/>
          <w:iCs w:val="0"/>
          <w:caps w:val="0"/>
          <w:color w:val="auto"/>
          <w:spacing w:val="0"/>
          <w:sz w:val="32"/>
          <w:szCs w:val="32"/>
          <w:lang w:val="en-US" w:eastAsia="zh-CN"/>
        </w:rPr>
        <w:t>的。</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4.本次招标要求供应商须具备建筑行业（建筑工程）乙级或设计综合类甲级资质及以上资质，并在人员、设备、资金等方面具有相应的能力；</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5.拟派项目负责人须具备二级注册建筑师执业资格；</w:t>
      </w:r>
    </w:p>
    <w:p>
      <w:pPr>
        <w:pStyle w:val="2"/>
        <w:ind w:firstLine="640" w:firstLineChars="200"/>
        <w:rPr>
          <w:rFonts w:hint="default" w:ascii="仿宋" w:hAnsi="仿宋" w:eastAsia="仿宋" w:cs="仿宋"/>
          <w:b w:val="0"/>
          <w:i w:val="0"/>
          <w:iCs w:val="0"/>
          <w:caps w:val="0"/>
          <w:color w:val="auto"/>
          <w:spacing w:val="0"/>
          <w:kern w:val="2"/>
          <w:sz w:val="32"/>
          <w:szCs w:val="32"/>
          <w:lang w:val="en-US" w:eastAsia="zh-CN" w:bidi="ar-SA"/>
        </w:rPr>
      </w:pPr>
      <w:r>
        <w:rPr>
          <w:rFonts w:hint="eastAsia" w:ascii="仿宋" w:hAnsi="仿宋" w:eastAsia="仿宋" w:cs="仿宋"/>
          <w:b w:val="0"/>
          <w:i w:val="0"/>
          <w:iCs w:val="0"/>
          <w:caps w:val="0"/>
          <w:color w:val="auto"/>
          <w:spacing w:val="0"/>
          <w:kern w:val="2"/>
          <w:sz w:val="32"/>
          <w:szCs w:val="32"/>
          <w:lang w:val="en-US" w:eastAsia="zh-CN" w:bidi="ar-SA"/>
        </w:rPr>
        <w:t>6.供应商需至少提供2个维修改造项目的业绩（需提供合同）。</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t>四、服务内容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1.小型基建维修项目指单项工程造价在200万（含）以下项目；学院不承诺最低业务量及金额，在选定的供应商商响应不及时或紧急特殊情况下，学院可自行采购其他服务供应商。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2.按项目实际需要，提供</w:t>
      </w:r>
      <w:r>
        <w:rPr>
          <w:rFonts w:hint="eastAsia" w:ascii="仿宋" w:hAnsi="仿宋" w:eastAsia="仿宋" w:cs="仿宋"/>
          <w:i w:val="0"/>
          <w:iCs w:val="0"/>
          <w:caps w:val="0"/>
          <w:color w:val="auto"/>
          <w:spacing w:val="0"/>
          <w:sz w:val="32"/>
          <w:szCs w:val="32"/>
        </w:rPr>
        <w:t>方案设计、施工图设计、现场指导与监督，施工图纸审核、竣工验收等全过程相关服务。设计</w:t>
      </w:r>
      <w:r>
        <w:rPr>
          <w:rFonts w:hint="eastAsia" w:ascii="仿宋" w:hAnsi="仿宋" w:eastAsia="仿宋" w:cs="仿宋"/>
          <w:i w:val="0"/>
          <w:iCs w:val="0"/>
          <w:caps w:val="0"/>
          <w:color w:val="auto"/>
          <w:spacing w:val="0"/>
          <w:sz w:val="32"/>
          <w:szCs w:val="32"/>
          <w:lang w:val="en-US" w:eastAsia="zh-CN"/>
        </w:rPr>
        <w:t>单位</w:t>
      </w:r>
      <w:r>
        <w:rPr>
          <w:rFonts w:hint="eastAsia" w:ascii="仿宋" w:hAnsi="仿宋" w:eastAsia="仿宋" w:cs="仿宋"/>
          <w:i w:val="0"/>
          <w:iCs w:val="0"/>
          <w:caps w:val="0"/>
          <w:color w:val="auto"/>
          <w:spacing w:val="0"/>
          <w:sz w:val="32"/>
          <w:szCs w:val="32"/>
        </w:rPr>
        <w:t>必须在工程设计周期内</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7日内</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交付合格的施工图纸质版不低于</w:t>
      </w:r>
      <w:r>
        <w:rPr>
          <w:rFonts w:hint="eastAsia" w:ascii="仿宋" w:hAnsi="仿宋" w:eastAsia="仿宋" w:cs="仿宋"/>
          <w:i w:val="0"/>
          <w:iCs w:val="0"/>
          <w:caps w:val="0"/>
          <w:color w:val="auto"/>
          <w:spacing w:val="0"/>
          <w:sz w:val="32"/>
          <w:szCs w:val="32"/>
          <w:lang w:val="en-US"/>
        </w:rPr>
        <w:t>6</w:t>
      </w:r>
      <w:r>
        <w:rPr>
          <w:rFonts w:hint="eastAsia" w:ascii="仿宋" w:hAnsi="仿宋" w:eastAsia="仿宋" w:cs="仿宋"/>
          <w:i w:val="0"/>
          <w:iCs w:val="0"/>
          <w:caps w:val="0"/>
          <w:color w:val="auto"/>
          <w:spacing w:val="0"/>
          <w:sz w:val="32"/>
          <w:szCs w:val="32"/>
        </w:rPr>
        <w:t>套、电子版</w:t>
      </w:r>
      <w:r>
        <w:rPr>
          <w:rFonts w:hint="eastAsia" w:ascii="仿宋" w:hAnsi="仿宋" w:eastAsia="仿宋" w:cs="仿宋"/>
          <w:i w:val="0"/>
          <w:iCs w:val="0"/>
          <w:caps w:val="0"/>
          <w:color w:val="auto"/>
          <w:spacing w:val="0"/>
          <w:sz w:val="32"/>
          <w:szCs w:val="32"/>
          <w:lang w:val="en-US"/>
        </w:rPr>
        <w:t>1</w:t>
      </w:r>
      <w:r>
        <w:rPr>
          <w:rFonts w:hint="eastAsia" w:ascii="仿宋" w:hAnsi="仿宋" w:eastAsia="仿宋" w:cs="仿宋"/>
          <w:i w:val="0"/>
          <w:iCs w:val="0"/>
          <w:caps w:val="0"/>
          <w:color w:val="auto"/>
          <w:spacing w:val="0"/>
          <w:sz w:val="32"/>
          <w:szCs w:val="32"/>
        </w:rPr>
        <w:t>套，提供设计效果图不少于</w:t>
      </w:r>
      <w:r>
        <w:rPr>
          <w:rFonts w:hint="eastAsia" w:ascii="仿宋" w:hAnsi="仿宋" w:eastAsia="仿宋" w:cs="仿宋"/>
          <w:i w:val="0"/>
          <w:iCs w:val="0"/>
          <w:caps w:val="0"/>
          <w:color w:val="auto"/>
          <w:spacing w:val="0"/>
          <w:sz w:val="32"/>
          <w:szCs w:val="32"/>
          <w:lang w:val="en-US"/>
        </w:rPr>
        <w:t>3</w:t>
      </w:r>
      <w:r>
        <w:rPr>
          <w:rFonts w:hint="eastAsia" w:ascii="仿宋" w:hAnsi="仿宋" w:eastAsia="仿宋" w:cs="仿宋"/>
          <w:i w:val="0"/>
          <w:iCs w:val="0"/>
          <w:caps w:val="0"/>
          <w:color w:val="auto"/>
          <w:spacing w:val="0"/>
          <w:sz w:val="32"/>
          <w:szCs w:val="32"/>
        </w:rPr>
        <w:t>张以上等；所有设计成果必须满足相关设计规范和设计强制性条文。</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注：具体设计范围、设计规模可根据采购人需求据实调整，中标单位对采购人设计需求无法满足，采购人有权将其任务委托给其它具有相应资质的单位实施。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t>五、服务要求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供应商的报价应为完成本项目全部设计总承包工作及项目实施过程中设计服务工作所需的全部费用，包括但不限于方案设计、初步设计及施工图设计（包括精装修、消防、电气、外立面改造、给排水等）以及在施工过程中的现场技术服务及相关服务等过程中所发生的全部费用。必须包括完成该项目的调研、编制费用、设计、差旅费、利润、税金、保险及设计单位应承担的相应风险。</w:t>
      </w:r>
    </w:p>
    <w:p>
      <w:pPr>
        <w:pStyle w:val="2"/>
        <w:numPr>
          <w:ilvl w:val="0"/>
          <w:numId w:val="2"/>
        </w:numPr>
        <w:ind w:firstLine="640" w:firstLineChars="200"/>
        <w:rPr>
          <w:rFonts w:hint="eastAsia" w:ascii="黑体" w:hAnsi="黑体" w:eastAsia="黑体" w:cs="黑体"/>
          <w:b w:val="0"/>
          <w:i w:val="0"/>
          <w:iCs w:val="0"/>
          <w:caps w:val="0"/>
          <w:color w:val="auto"/>
          <w:spacing w:val="0"/>
          <w:kern w:val="2"/>
          <w:sz w:val="32"/>
          <w:szCs w:val="32"/>
          <w:lang w:val="en-US" w:eastAsia="zh-CN" w:bidi="ar-SA"/>
        </w:rPr>
      </w:pPr>
      <w:r>
        <w:rPr>
          <w:rFonts w:hint="eastAsia" w:ascii="黑体" w:hAnsi="黑体" w:eastAsia="黑体" w:cs="黑体"/>
          <w:b w:val="0"/>
          <w:i w:val="0"/>
          <w:iCs w:val="0"/>
          <w:caps w:val="0"/>
          <w:color w:val="auto"/>
          <w:spacing w:val="0"/>
          <w:kern w:val="2"/>
          <w:sz w:val="32"/>
          <w:szCs w:val="32"/>
          <w:lang w:val="en-US" w:eastAsia="zh-CN" w:bidi="ar-SA"/>
        </w:rPr>
        <w:t>采购</w:t>
      </w:r>
      <w:r>
        <w:rPr>
          <w:rFonts w:hint="eastAsia" w:ascii="黑体" w:hAnsi="黑体" w:cs="黑体"/>
          <w:b w:val="0"/>
          <w:i w:val="0"/>
          <w:iCs w:val="0"/>
          <w:caps w:val="0"/>
          <w:color w:val="auto"/>
          <w:spacing w:val="0"/>
          <w:kern w:val="2"/>
          <w:sz w:val="32"/>
          <w:szCs w:val="32"/>
          <w:lang w:val="en-US" w:eastAsia="zh-CN" w:bidi="ar-SA"/>
        </w:rPr>
        <w:t>及报价</w:t>
      </w:r>
      <w:r>
        <w:rPr>
          <w:rFonts w:hint="eastAsia" w:ascii="黑体" w:hAnsi="黑体" w:eastAsia="黑体" w:cs="黑体"/>
          <w:b w:val="0"/>
          <w:i w:val="0"/>
          <w:iCs w:val="0"/>
          <w:caps w:val="0"/>
          <w:color w:val="auto"/>
          <w:spacing w:val="0"/>
          <w:kern w:val="2"/>
          <w:sz w:val="32"/>
          <w:szCs w:val="32"/>
          <w:lang w:val="en-US" w:eastAsia="zh-CN" w:bidi="ar-SA"/>
        </w:rPr>
        <w:t>方式</w:t>
      </w:r>
    </w:p>
    <w:p>
      <w:pPr>
        <w:pStyle w:val="3"/>
        <w:numPr>
          <w:ilvl w:val="0"/>
          <w:numId w:val="0"/>
        </w:numPr>
        <w:ind w:firstLine="640" w:firstLineChars="200"/>
        <w:rPr>
          <w:rFonts w:hint="default" w:ascii="仿宋" w:hAnsi="仿宋" w:eastAsia="仿宋" w:cs="仿宋"/>
          <w:b w:val="0"/>
          <w:i w:val="0"/>
          <w:iCs w:val="0"/>
          <w:caps w:val="0"/>
          <w:color w:val="auto"/>
          <w:spacing w:val="0"/>
          <w:kern w:val="2"/>
          <w:sz w:val="32"/>
          <w:szCs w:val="32"/>
          <w:lang w:val="en-US" w:eastAsia="zh-CN" w:bidi="ar-SA"/>
        </w:rPr>
      </w:pPr>
      <w:r>
        <w:rPr>
          <w:rFonts w:hint="eastAsia" w:ascii="仿宋" w:hAnsi="仿宋" w:eastAsia="仿宋" w:cs="仿宋"/>
          <w:b w:val="0"/>
          <w:i w:val="0"/>
          <w:iCs w:val="0"/>
          <w:caps w:val="0"/>
          <w:color w:val="auto"/>
          <w:spacing w:val="0"/>
          <w:kern w:val="2"/>
          <w:sz w:val="32"/>
          <w:szCs w:val="32"/>
          <w:lang w:val="en-US" w:eastAsia="zh-CN" w:bidi="ar-SA"/>
        </w:rPr>
        <w:t>本项目采用询价采购方式，供应商向采购人做出一次性书面报价，报价采用费率报价，在符合需求的前提下，所报费率最低的供应商为中标供应商，如费率相同则采取现场抽签的方式确认中标供应商。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t>七、付款与结算方式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1.结算方式：单项工程造价*中标设计费费率=工程设计费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auto"/>
          <w:spacing w:val="0"/>
          <w:sz w:val="32"/>
          <w:szCs w:val="32"/>
          <w:lang w:val="en-US" w:eastAsia="zh-CN"/>
        </w:rPr>
        <w:t>2.付款方式：单项基建维修项目竣工验收完成后按单项进行结算，一次性付清，每年设计费结算不得超出29万元。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C007DD-60D4-4EA9-9C66-8F41C8B207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D93BB500-BBFC-40B8-A744-F6F479B8CEE2}"/>
  </w:font>
  <w:font w:name="仿宋_GB2312">
    <w:panose1 w:val="02010609030101010101"/>
    <w:charset w:val="86"/>
    <w:family w:val="auto"/>
    <w:pitch w:val="default"/>
    <w:sig w:usb0="00000001" w:usb1="080E0000" w:usb2="00000000" w:usb3="00000000" w:csb0="00040000" w:csb1="00000000"/>
    <w:embedRegular r:id="rId3" w:fontKey="{AB4A34D9-C4C5-4A69-80BF-6F3D18D0A3BF}"/>
  </w:font>
  <w:font w:name="仿宋">
    <w:panose1 w:val="02010609060101010101"/>
    <w:charset w:val="86"/>
    <w:family w:val="auto"/>
    <w:pitch w:val="default"/>
    <w:sig w:usb0="800002BF" w:usb1="38CF7CFA" w:usb2="00000016" w:usb3="00000000" w:csb0="00040001" w:csb1="00000000"/>
    <w:embedRegular r:id="rId4" w:fontKey="{F8AB7CF6-339A-4019-89AC-1A22F7A67AF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B8B9F"/>
    <w:multiLevelType w:val="singleLevel"/>
    <w:tmpl w:val="A20B8B9F"/>
    <w:lvl w:ilvl="0" w:tentative="0">
      <w:start w:val="6"/>
      <w:numFmt w:val="chineseCounting"/>
      <w:suff w:val="nothing"/>
      <w:lvlText w:val="%1、"/>
      <w:lvlJc w:val="left"/>
      <w:rPr>
        <w:rFonts w:hint="eastAsia"/>
      </w:rPr>
    </w:lvl>
  </w:abstractNum>
  <w:abstractNum w:abstractNumId="1">
    <w:nsid w:val="47B32CD8"/>
    <w:multiLevelType w:val="singleLevel"/>
    <w:tmpl w:val="47B32CD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ODZlMDI2N2Y5NWI3OTE0MmMwOTg0MTMzOGJiZGQifQ=="/>
  </w:docVars>
  <w:rsids>
    <w:rsidRoot w:val="5337575E"/>
    <w:rsid w:val="03E44303"/>
    <w:rsid w:val="087D35E0"/>
    <w:rsid w:val="15213062"/>
    <w:rsid w:val="172B7C90"/>
    <w:rsid w:val="1EF91D5F"/>
    <w:rsid w:val="21C84786"/>
    <w:rsid w:val="4272065C"/>
    <w:rsid w:val="50917321"/>
    <w:rsid w:val="5337575E"/>
    <w:rsid w:val="6EFF3F48"/>
    <w:rsid w:val="745C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99"/>
    <w:pPr>
      <w:jc w:val="left"/>
    </w:pPr>
    <w:rPr>
      <w:rFonts w:ascii="Arial" w:hAnsi="Arial" w:eastAsia="黑体"/>
      <w:b/>
      <w:sz w:val="32"/>
      <w:szCs w:val="20"/>
    </w:rPr>
  </w:style>
  <w:style w:type="paragraph" w:styleId="3">
    <w:name w:val="Body Text First Indent"/>
    <w:basedOn w:val="2"/>
    <w:next w:val="4"/>
    <w:semiHidden/>
    <w:qFormat/>
    <w:uiPriority w:val="99"/>
    <w:pPr>
      <w:spacing w:after="120"/>
      <w:ind w:firstLine="420" w:firstLineChars="100"/>
      <w:jc w:val="both"/>
    </w:pPr>
    <w:rPr>
      <w:rFonts w:ascii="Times New Roman" w:hAnsi="Times New Roman" w:eastAsia="宋体"/>
      <w:b w:val="0"/>
      <w:sz w:val="21"/>
      <w:szCs w:val="24"/>
    </w:rPr>
  </w:style>
  <w:style w:type="paragraph" w:styleId="4">
    <w:name w:val="toc 6"/>
    <w:basedOn w:val="1"/>
    <w:next w:val="1"/>
    <w:semiHidden/>
    <w:qFormat/>
    <w:uiPriority w:val="99"/>
    <w:pPr>
      <w:ind w:left="105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1211</Words>
  <Characters>1235</Characters>
  <Lines>0</Lines>
  <Paragraphs>0</Paragraphs>
  <TotalTime>28</TotalTime>
  <ScaleCrop>false</ScaleCrop>
  <LinksUpToDate>false</LinksUpToDate>
  <CharactersWithSpaces>1235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2024-05-29T06:49:00Z</dcterms:created>
  <dc:creator>许兴伟</dc:creator>
  <cp:lastModifiedBy>许兴伟</cp:lastModifiedBy>
  <dcterms:modified xsi:type="dcterms:W3CDTF">2024-05-31T02:20:25Z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494FB4C5B7EF45E3AF225087BD7948BB_11</vt:lpwstr>
  </property>
</Properties>
</file>