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591CD">
      <w:pPr>
        <w:spacing w:before="156" w:beforeLines="50" w:after="156" w:afterLines="50" w:line="460" w:lineRule="exact"/>
        <w:rPr>
          <w:rFonts w:hint="eastAsia" w:ascii="黑体" w:eastAsia="黑体"/>
          <w:sz w:val="36"/>
          <w:szCs w:val="36"/>
        </w:rPr>
      </w:pPr>
      <w:r>
        <w:rPr>
          <w:rFonts w:hint="eastAsia" w:ascii="黑体" w:eastAsia="黑体"/>
          <w:sz w:val="36"/>
          <w:szCs w:val="36"/>
        </w:rPr>
        <w:t xml:space="preserve">附件1：政府采购需求书（货物类） </w:t>
      </w:r>
    </w:p>
    <w:p w14:paraId="13000EDA">
      <w:pPr>
        <w:spacing w:before="156" w:beforeLines="50" w:after="156" w:afterLines="50"/>
        <w:jc w:val="center"/>
        <w:rPr>
          <w:rFonts w:hint="eastAsia" w:ascii="黑体" w:eastAsia="黑体"/>
          <w:sz w:val="32"/>
          <w:szCs w:val="32"/>
          <w:u w:val="none"/>
        </w:rPr>
      </w:pPr>
      <w:r>
        <w:rPr>
          <w:rFonts w:hint="eastAsia" w:ascii="黑体" w:eastAsia="黑体"/>
          <w:sz w:val="32"/>
          <w:szCs w:val="32"/>
          <w:u w:val="single"/>
          <w:lang w:val="en-US" w:eastAsia="zh-CN"/>
        </w:rPr>
        <w:t>池州职业技术学院微景观实训室建设</w:t>
      </w:r>
      <w:r>
        <w:rPr>
          <w:rFonts w:hint="eastAsia" w:ascii="黑体" w:eastAsia="黑体"/>
          <w:sz w:val="32"/>
          <w:szCs w:val="32"/>
          <w:u w:val="single"/>
        </w:rPr>
        <w:t>采购</w:t>
      </w:r>
      <w:r>
        <w:rPr>
          <w:rFonts w:hint="eastAsia" w:ascii="黑体" w:eastAsia="黑体"/>
          <w:sz w:val="32"/>
          <w:szCs w:val="32"/>
          <w:u w:val="none"/>
        </w:rPr>
        <w:t>需求书</w:t>
      </w:r>
    </w:p>
    <w:p w14:paraId="5DFD4A28">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
          <w:sz w:val="24"/>
        </w:rPr>
      </w:pPr>
      <w:r>
        <w:rPr>
          <w:rFonts w:hint="eastAsia" w:ascii="宋体" w:hAnsi="宋体" w:cs="宋体"/>
          <w:b/>
          <w:sz w:val="24"/>
        </w:rPr>
        <w:t xml:space="preserve">    一、项目概况</w:t>
      </w:r>
    </w:p>
    <w:p w14:paraId="474F3BD9">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cs="宋体"/>
          <w:b/>
          <w:kern w:val="0"/>
          <w:sz w:val="24"/>
        </w:rPr>
      </w:pPr>
      <w:r>
        <w:rPr>
          <w:rFonts w:hint="eastAsia" w:ascii="宋体" w:hAnsi="宋体" w:cs="宋体"/>
          <w:b/>
          <w:kern w:val="0"/>
          <w:sz w:val="24"/>
        </w:rPr>
        <w:t>1、实施背景</w:t>
      </w:r>
    </w:p>
    <w:p w14:paraId="0999ED18">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ascii="宋体" w:hAnsi="宋体"/>
          <w:sz w:val="24"/>
        </w:rPr>
      </w:pPr>
      <w:r>
        <w:rPr>
          <w:rFonts w:hint="eastAsia" w:ascii="宋体" w:hAnsi="宋体" w:eastAsia="宋体" w:cs="Times New Roman"/>
          <w:kern w:val="2"/>
          <w:sz w:val="24"/>
          <w:szCs w:val="24"/>
          <w:lang w:val="en-US" w:eastAsia="zh-CN" w:bidi="ar-SA"/>
        </w:rPr>
        <w:t>根据学院实验实训中心2024年年度实训室建设计划，为满足24五年制园林技术专业面向产业链、“以岗定课、课岗融通”的课程教学改革以及微景观设计与制作技能大赛对训练场地设备的需求，建筑与园林系现计划建设一间教学与微景观制作一体化实训教室，实现现场教学与实践为一体目的。为了达到如期目标，急需配置相关设备和装修改造材料。</w:t>
      </w:r>
    </w:p>
    <w:p w14:paraId="33296D26">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cs="宋体"/>
          <w:b/>
          <w:kern w:val="0"/>
          <w:sz w:val="24"/>
        </w:rPr>
      </w:pPr>
      <w:r>
        <w:rPr>
          <w:rFonts w:hint="eastAsia" w:ascii="宋体" w:hAnsi="宋体" w:cs="宋体"/>
          <w:b/>
          <w:kern w:val="0"/>
          <w:sz w:val="24"/>
        </w:rPr>
        <w:t>2、采购内容和预算</w:t>
      </w:r>
    </w:p>
    <w:p w14:paraId="45EAD11F">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需要采购的设备及实训室建设材料，预算 14.7万元。</w:t>
      </w:r>
    </w:p>
    <w:p w14:paraId="62C99679">
      <w:pPr>
        <w:keepNext w:val="0"/>
        <w:keepLines w:val="0"/>
        <w:pageBreakBefore w:val="0"/>
        <w:widowControl w:val="0"/>
        <w:kinsoku/>
        <w:wordWrap/>
        <w:overflowPunct/>
        <w:topLinePunct w:val="0"/>
        <w:autoSpaceDE/>
        <w:autoSpaceDN/>
        <w:bidi w:val="0"/>
        <w:adjustRightInd/>
        <w:spacing w:line="480" w:lineRule="exact"/>
        <w:ind w:right="-134" w:rightChars="-64" w:firstLine="482" w:firstLineChars="200"/>
        <w:jc w:val="left"/>
        <w:textAlignment w:val="auto"/>
        <w:rPr>
          <w:rFonts w:hint="eastAsia" w:ascii="宋体" w:hAnsi="宋体" w:eastAsia="宋体" w:cs="宋体"/>
          <w:b/>
          <w:kern w:val="0"/>
          <w:sz w:val="24"/>
          <w:lang w:eastAsia="zh-CN"/>
        </w:rPr>
      </w:pPr>
      <w:r>
        <w:rPr>
          <w:rFonts w:hint="eastAsia" w:ascii="宋体" w:hAnsi="宋体" w:cs="宋体"/>
          <w:b/>
          <w:kern w:val="0"/>
          <w:sz w:val="24"/>
        </w:rPr>
        <w:t>3、项目整体用途、功能目标</w:t>
      </w:r>
    </w:p>
    <w:p w14:paraId="34D93A5D">
      <w:pPr>
        <w:pStyle w:val="3"/>
        <w:keepNext w:val="0"/>
        <w:keepLines w:val="0"/>
        <w:pageBreakBefore w:val="0"/>
        <w:widowControl w:val="0"/>
        <w:kinsoku/>
        <w:wordWrap/>
        <w:overflowPunct/>
        <w:topLinePunct w:val="0"/>
        <w:autoSpaceDE/>
        <w:autoSpaceDN/>
        <w:bidi w:val="0"/>
        <w:adjustRightInd/>
        <w:snapToGrid/>
        <w:spacing w:line="351" w:lineRule="auto"/>
        <w:ind w:firstLine="482"/>
        <w:jc w:val="both"/>
        <w:textAlignment w:val="auto"/>
        <w:rPr>
          <w:rFonts w:hint="eastAsia" w:ascii="宋体" w:hAnsi="宋体" w:eastAsia="宋体" w:cs="Times New Roman"/>
          <w:kern w:val="2"/>
          <w:sz w:val="24"/>
          <w:szCs w:val="24"/>
          <w:lang w:val="en-US" w:eastAsia="zh-CN" w:bidi="ar-SA"/>
        </w:rPr>
      </w:pPr>
      <w:bookmarkStart w:id="0" w:name="_Hlk505003689"/>
      <w:r>
        <w:rPr>
          <w:rFonts w:hint="eastAsia" w:ascii="宋体" w:hAnsi="宋体" w:eastAsia="宋体" w:cs="Times New Roman"/>
          <w:kern w:val="2"/>
          <w:sz w:val="24"/>
          <w:szCs w:val="24"/>
          <w:lang w:val="en-US" w:eastAsia="zh-CN" w:bidi="ar-SA"/>
        </w:rPr>
        <w:t>通过此项目的建设，发挥教学改革示范作用，提高学校的教学质量。教室建成后，能保证 课程改革的顺利开展，同时也能够为教师提供一个良好的教研与实践环境。能够实现一体化教 学，充分发挥微景观景实训室在教学中积极作用，提高学生学习兴趣和对专业知识的认识，满足教学和教科研需要。</w:t>
      </w:r>
    </w:p>
    <w:bookmarkEnd w:id="0"/>
    <w:p w14:paraId="3B997D4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二、供应商资格条件</w:t>
      </w:r>
    </w:p>
    <w:p w14:paraId="34791112">
      <w:pPr>
        <w:keepNext w:val="0"/>
        <w:keepLines w:val="0"/>
        <w:pageBreakBefore w:val="0"/>
        <w:widowControl w:val="0"/>
        <w:kinsoku/>
        <w:wordWrap/>
        <w:overflowPunct/>
        <w:topLinePunct w:val="0"/>
        <w:autoSpaceDE/>
        <w:autoSpaceDN/>
        <w:bidi w:val="0"/>
        <w:adjustRightInd/>
        <w:snapToGrid w:val="0"/>
        <w:spacing w:line="480" w:lineRule="exact"/>
        <w:ind w:left="480"/>
        <w:textAlignment w:val="auto"/>
        <w:rPr>
          <w:rFonts w:hint="eastAsia" w:ascii="宋体" w:hAnsi="宋体" w:cs="宋体"/>
          <w:bCs/>
          <w:kern w:val="0"/>
          <w:sz w:val="24"/>
        </w:rPr>
      </w:pPr>
      <w:bookmarkStart w:id="1" w:name="_Hlk505003704"/>
      <w:r>
        <w:rPr>
          <w:rFonts w:hint="eastAsia" w:ascii="宋体" w:hAnsi="宋体" w:cs="宋体"/>
          <w:bCs/>
          <w:kern w:val="0"/>
          <w:sz w:val="24"/>
        </w:rPr>
        <w:t>1、投标人应具备《政府采购法》第二十二条规定的条件；</w:t>
      </w:r>
    </w:p>
    <w:p w14:paraId="75FA580E">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ascii="宋体" w:hAnsi="宋体" w:cs="宋体"/>
          <w:bCs/>
          <w:kern w:val="0"/>
          <w:sz w:val="24"/>
        </w:rPr>
      </w:pPr>
      <w:r>
        <w:rPr>
          <w:rFonts w:hint="eastAsia" w:ascii="宋体" w:hAnsi="宋体" w:cs="宋体"/>
          <w:bCs/>
          <w:kern w:val="0"/>
          <w:sz w:val="24"/>
        </w:rPr>
        <w:t>2、具有工商营业执照、税务登记证、组织机构代码证等国家实行强制性要求的相关证件</w:t>
      </w:r>
      <w:r>
        <w:rPr>
          <w:rFonts w:hint="eastAsia" w:ascii="宋体" w:hAnsi="宋体" w:cs="宋体"/>
          <w:bCs/>
          <w:color w:val="auto"/>
          <w:kern w:val="0"/>
          <w:sz w:val="24"/>
        </w:rPr>
        <w:t>；</w:t>
      </w:r>
    </w:p>
    <w:p w14:paraId="74F82CCF">
      <w:pPr>
        <w:keepNext w:val="0"/>
        <w:keepLines w:val="0"/>
        <w:pageBreakBefore w:val="0"/>
        <w:widowControl w:val="0"/>
        <w:kinsoku/>
        <w:wordWrap/>
        <w:overflowPunct/>
        <w:topLinePunct w:val="0"/>
        <w:autoSpaceDE/>
        <w:autoSpaceDN/>
        <w:bidi w:val="0"/>
        <w:adjustRightInd/>
        <w:snapToGrid w:val="0"/>
        <w:spacing w:line="480" w:lineRule="exact"/>
        <w:ind w:firstLine="424" w:firstLineChars="177"/>
        <w:textAlignment w:val="auto"/>
        <w:rPr>
          <w:rFonts w:ascii="宋体" w:hAnsi="宋体" w:cs="宋体"/>
          <w:bCs/>
          <w:kern w:val="0"/>
          <w:sz w:val="24"/>
        </w:rPr>
      </w:pPr>
      <w:r>
        <w:rPr>
          <w:rFonts w:hint="eastAsia" w:ascii="宋体" w:hAnsi="宋体" w:cs="宋体"/>
          <w:bCs/>
          <w:kern w:val="0"/>
          <w:sz w:val="24"/>
        </w:rPr>
        <w:t>3、本项目不接受联合体投标，不允许分包；</w:t>
      </w:r>
    </w:p>
    <w:p w14:paraId="272E1ACC">
      <w:pPr>
        <w:keepNext w:val="0"/>
        <w:keepLines w:val="0"/>
        <w:pageBreakBefore w:val="0"/>
        <w:widowControl w:val="0"/>
        <w:kinsoku/>
        <w:wordWrap/>
        <w:overflowPunct/>
        <w:topLinePunct w:val="0"/>
        <w:autoSpaceDE/>
        <w:autoSpaceDN/>
        <w:bidi w:val="0"/>
        <w:adjustRightInd/>
        <w:snapToGrid w:val="0"/>
        <w:spacing w:line="480" w:lineRule="exact"/>
        <w:ind w:firstLine="424" w:firstLineChars="177"/>
        <w:textAlignment w:val="auto"/>
        <w:rPr>
          <w:rFonts w:hint="eastAsia" w:ascii="宋体" w:hAnsi="宋体" w:cs="宋体"/>
          <w:bCs/>
          <w:kern w:val="0"/>
          <w:sz w:val="24"/>
        </w:rPr>
      </w:pPr>
      <w:r>
        <w:rPr>
          <w:rFonts w:ascii="宋体" w:hAnsi="宋体" w:cs="宋体"/>
          <w:bCs/>
          <w:kern w:val="0"/>
          <w:sz w:val="24"/>
        </w:rPr>
        <w:t>4</w:t>
      </w:r>
      <w:r>
        <w:rPr>
          <w:rFonts w:hint="eastAsia" w:ascii="宋体" w:hAnsi="宋体" w:cs="宋体"/>
          <w:bCs/>
          <w:kern w:val="0"/>
          <w:sz w:val="24"/>
        </w:rPr>
        <w:t>、要求能够如期供货，全面、积极配合校方的工作。</w:t>
      </w:r>
    </w:p>
    <w:bookmarkEnd w:id="1"/>
    <w:p w14:paraId="2F98ABB7">
      <w:pPr>
        <w:keepNext w:val="0"/>
        <w:keepLines w:val="0"/>
        <w:pageBreakBefore w:val="0"/>
        <w:widowControl w:val="0"/>
        <w:kinsoku/>
        <w:wordWrap/>
        <w:overflowPunct/>
        <w:topLinePunct w:val="0"/>
        <w:autoSpaceDE/>
        <w:autoSpaceDN/>
        <w:bidi w:val="0"/>
        <w:adjustRightInd/>
        <w:snapToGrid w:val="0"/>
        <w:spacing w:line="480" w:lineRule="exact"/>
        <w:ind w:firstLine="480"/>
        <w:textAlignment w:val="auto"/>
        <w:rPr>
          <w:rFonts w:ascii="宋体" w:hAnsi="宋体" w:cs="宋体"/>
          <w:b/>
          <w:kern w:val="0"/>
          <w:sz w:val="24"/>
        </w:rPr>
      </w:pPr>
      <w:r>
        <w:rPr>
          <w:rFonts w:hint="eastAsia" w:ascii="宋体" w:hAnsi="宋体" w:cs="宋体"/>
          <w:b/>
          <w:kern w:val="0"/>
          <w:sz w:val="24"/>
        </w:rPr>
        <w:t xml:space="preserve">三、采购清单 </w:t>
      </w:r>
    </w:p>
    <w:tbl>
      <w:tblPr>
        <w:tblStyle w:val="5"/>
        <w:tblW w:w="4836" w:type="pct"/>
        <w:tblInd w:w="1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7"/>
        <w:gridCol w:w="4273"/>
        <w:gridCol w:w="2143"/>
        <w:gridCol w:w="1470"/>
      </w:tblGrid>
      <w:tr w14:paraId="7446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E9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12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C0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4D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7CD68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9E6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E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教室讲桌</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0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6E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83A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DE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F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教师椅</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C8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5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6F36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922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安全交换网关</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42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01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D17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1C5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F4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千兆交换机</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9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95D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24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48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六类网络线</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D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0C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6AD0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B5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5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6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4D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94A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B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3F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B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55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48C1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3A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73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智能音频主机</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8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46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1953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500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D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教师拾音麦克风</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C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EF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C9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F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10</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B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高保真扩声音箱</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3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E8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5A32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6B8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11</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6B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微景观制作台具（60*45*45cm）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8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64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7D50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1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2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微景观制作台具（80*45*45cm）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2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C7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0FF3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BB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13</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A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微景观制作台具（100*45*45cm）</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4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69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r>
      <w:tr w14:paraId="7C85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E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14</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10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条形灯</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A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盏</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47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r>
      <w:tr w14:paraId="1CF9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BE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15</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EF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铝方通</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A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28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r>
      <w:tr w14:paraId="06B7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4813">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16</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2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多功能产品展示柜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859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5B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r>
      <w:tr w14:paraId="364D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8C25">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17</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1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台式展示柜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7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82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2363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4F094">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18</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1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窗帘及窗帘盒制作</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5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E0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14:paraId="68B7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22A9">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19</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BD9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实训耗材</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E2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6A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C37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5A0F">
            <w:pPr>
              <w:keepNext w:val="0"/>
              <w:keepLines w:val="0"/>
              <w:widowControl/>
              <w:suppressLineNumbers w:val="0"/>
              <w:jc w:val="center"/>
              <w:textAlignment w:val="center"/>
              <w:rPr>
                <w:rFonts w:hint="default"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20</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06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装修集成改造</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C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0E6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bl>
    <w:p w14:paraId="3A8B900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cs="宋体"/>
          <w:b/>
          <w:kern w:val="0"/>
          <w:sz w:val="24"/>
        </w:rPr>
      </w:pPr>
    </w:p>
    <w:p w14:paraId="0CABB5D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b/>
          <w:sz w:val="24"/>
          <w:szCs w:val="21"/>
        </w:rPr>
      </w:pPr>
      <w:r>
        <w:rPr>
          <w:rFonts w:hint="eastAsia" w:ascii="宋体" w:hAnsi="宋体" w:cs="宋体"/>
          <w:b/>
          <w:kern w:val="0"/>
          <w:sz w:val="24"/>
        </w:rPr>
        <w:t>四、</w:t>
      </w:r>
      <w:r>
        <w:rPr>
          <w:rFonts w:hint="eastAsia" w:ascii="宋体" w:hAnsi="宋体" w:cs="宋体"/>
          <w:b/>
          <w:bCs/>
          <w:kern w:val="0"/>
          <w:sz w:val="24"/>
        </w:rPr>
        <w:t>技术参数及功能要求</w:t>
      </w:r>
    </w:p>
    <w:tbl>
      <w:tblPr>
        <w:tblStyle w:val="5"/>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55"/>
        <w:gridCol w:w="7278"/>
        <w:gridCol w:w="560"/>
      </w:tblGrid>
      <w:tr w14:paraId="636A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87" w:type="dxa"/>
            <w:noWrap w:val="0"/>
            <w:vAlign w:val="center"/>
          </w:tcPr>
          <w:p w14:paraId="54A9B916">
            <w:pPr>
              <w:spacing w:before="156" w:after="156" w:line="240" w:lineRule="exact"/>
              <w:jc w:val="center"/>
              <w:rPr>
                <w:rFonts w:hint="eastAsia" w:ascii="宋体" w:hAnsi="宋体"/>
                <w:b/>
                <w:szCs w:val="21"/>
              </w:rPr>
            </w:pPr>
            <w:r>
              <w:rPr>
                <w:rFonts w:hint="eastAsia" w:ascii="宋体" w:hAnsi="宋体"/>
                <w:b/>
                <w:szCs w:val="21"/>
              </w:rPr>
              <w:t>序号</w:t>
            </w:r>
          </w:p>
        </w:tc>
        <w:tc>
          <w:tcPr>
            <w:tcW w:w="955" w:type="dxa"/>
            <w:noWrap w:val="0"/>
            <w:vAlign w:val="center"/>
          </w:tcPr>
          <w:p w14:paraId="19DCCC74">
            <w:pPr>
              <w:spacing w:before="156" w:after="156" w:line="240" w:lineRule="exact"/>
              <w:jc w:val="center"/>
              <w:rPr>
                <w:rFonts w:hint="eastAsia" w:ascii="宋体" w:hAnsi="宋体"/>
                <w:b/>
                <w:szCs w:val="21"/>
              </w:rPr>
            </w:pPr>
            <w:r>
              <w:rPr>
                <w:rFonts w:hint="eastAsia" w:ascii="宋体" w:hAnsi="宋体"/>
                <w:b/>
                <w:szCs w:val="21"/>
              </w:rPr>
              <w:t>货物名称</w:t>
            </w:r>
          </w:p>
        </w:tc>
        <w:tc>
          <w:tcPr>
            <w:tcW w:w="7278" w:type="dxa"/>
            <w:noWrap w:val="0"/>
            <w:vAlign w:val="center"/>
          </w:tcPr>
          <w:p w14:paraId="28EEF67A">
            <w:pPr>
              <w:spacing w:before="156" w:after="156" w:line="240" w:lineRule="exact"/>
              <w:jc w:val="center"/>
              <w:rPr>
                <w:rFonts w:hint="eastAsia" w:ascii="宋体" w:hAnsi="宋体"/>
                <w:b/>
                <w:szCs w:val="21"/>
              </w:rPr>
            </w:pPr>
            <w:r>
              <w:rPr>
                <w:rFonts w:hint="eastAsia" w:ascii="宋体" w:hAnsi="宋体"/>
                <w:b/>
                <w:szCs w:val="21"/>
              </w:rPr>
              <w:t>技术参数及功能要求</w:t>
            </w:r>
          </w:p>
        </w:tc>
        <w:tc>
          <w:tcPr>
            <w:tcW w:w="560" w:type="dxa"/>
            <w:noWrap w:val="0"/>
            <w:vAlign w:val="center"/>
          </w:tcPr>
          <w:p w14:paraId="2F4AC77A">
            <w:pPr>
              <w:spacing w:before="156" w:after="156" w:line="240" w:lineRule="exact"/>
              <w:jc w:val="center"/>
              <w:rPr>
                <w:rFonts w:hint="eastAsia" w:ascii="宋体" w:hAnsi="宋体"/>
                <w:b/>
                <w:szCs w:val="21"/>
              </w:rPr>
            </w:pPr>
            <w:r>
              <w:rPr>
                <w:rFonts w:hint="eastAsia" w:ascii="宋体" w:hAnsi="宋体"/>
                <w:b/>
                <w:szCs w:val="21"/>
              </w:rPr>
              <w:t>备注</w:t>
            </w:r>
          </w:p>
        </w:tc>
      </w:tr>
      <w:tr w14:paraId="1102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53DF7858">
            <w:pPr>
              <w:pStyle w:val="16"/>
              <w:spacing w:before="3"/>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55" w:type="dxa"/>
            <w:noWrap w:val="0"/>
            <w:vAlign w:val="center"/>
          </w:tcPr>
          <w:p w14:paraId="35E9A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教师讲台</w:t>
            </w:r>
          </w:p>
        </w:tc>
        <w:tc>
          <w:tcPr>
            <w:tcW w:w="7278" w:type="dxa"/>
            <w:noWrap w:val="0"/>
            <w:vAlign w:val="center"/>
          </w:tcPr>
          <w:p w14:paraId="6917B6F0">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1.盖门采取翻转方式。</w:t>
            </w:r>
          </w:p>
          <w:p w14:paraId="6C2EC67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.钢木结合材料一体成型；桌体采用1.2-1.5MM优质冷轧钢板，实木扶手桌面木质耐划台面；全封闭式结构。</w:t>
            </w:r>
          </w:p>
          <w:p w14:paraId="6205AA5A">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.液晶显示器采用翻转设计，显示器角度任意调节，可使视线和显示器接近垂直，可安装17-24寸显示器，关闭后所有设备都隐藏在讲台内。</w:t>
            </w:r>
          </w:p>
          <w:p w14:paraId="2E33EFD0">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4.键盘采用翻转式操作，显示器、中央控制系统、键盘互不影响独立操作。</w:t>
            </w:r>
          </w:p>
          <w:p w14:paraId="232C6D3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default" w:ascii="宋体" w:hAnsi="宋体" w:eastAsia="宋体" w:cs="宋体"/>
                <w:i w:val="0"/>
                <w:iCs w:val="0"/>
                <w:color w:val="000000"/>
                <w:kern w:val="0"/>
                <w:sz w:val="21"/>
                <w:szCs w:val="21"/>
                <w:u w:val="none"/>
                <w:lang w:val="en-US" w:eastAsia="zh-CN" w:bidi="ar"/>
              </w:rPr>
              <w:t>讲台右侧面设有移门导轨抽拉式抽屉，用于放置实物展示台，抽屉空间支持市面上任一品牌任一型号的展台的放入。</w:t>
            </w:r>
          </w:p>
          <w:p w14:paraId="5FE9CEA4">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.讲桌桌体采用开合式小柜门设计，不必打开大柜门，即可经由计算机光驱播放光碟等。</w:t>
            </w:r>
          </w:p>
          <w:p w14:paraId="565FC366">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桌体下层内部采用标准机柜设计，带层板，可任意调节</w:t>
            </w:r>
            <w:r>
              <w:rPr>
                <w:rFonts w:hint="eastAsia" w:ascii="宋体" w:hAnsi="宋体" w:cs="宋体"/>
                <w:i w:val="0"/>
                <w:iCs w:val="0"/>
                <w:color w:val="000000"/>
                <w:kern w:val="0"/>
                <w:sz w:val="21"/>
                <w:szCs w:val="21"/>
                <w:u w:val="none"/>
                <w:lang w:val="en-US" w:eastAsia="zh-CN" w:bidi="ar"/>
              </w:rPr>
              <w:t>；</w:t>
            </w:r>
            <w:r>
              <w:rPr>
                <w:rFonts w:hint="default"/>
                <w:lang w:val="en-US" w:eastAsia="zh-CN"/>
              </w:rPr>
              <w:t>带有安全锁，锁具采用优质锁。</w:t>
            </w:r>
          </w:p>
          <w:p w14:paraId="2698E7B0">
            <w:pPr>
              <w:spacing w:line="360" w:lineRule="auto"/>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 参考图示</w:t>
            </w:r>
          </w:p>
          <w:p w14:paraId="1AAB1F0B">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2286000</wp:posOffset>
                  </wp:positionH>
                  <wp:positionV relativeFrom="paragraph">
                    <wp:posOffset>50800</wp:posOffset>
                  </wp:positionV>
                  <wp:extent cx="1632585" cy="1483360"/>
                  <wp:effectExtent l="0" t="0" r="13335" b="10160"/>
                  <wp:wrapSquare wrapText="bothSides"/>
                  <wp:docPr id="4" name="图片 2" descr="171837206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718372069254"/>
                          <pic:cNvPicPr>
                            <a:picLocks noChangeAspect="1"/>
                          </pic:cNvPicPr>
                        </pic:nvPicPr>
                        <pic:blipFill>
                          <a:blip r:embed="rId6"/>
                          <a:stretch>
                            <a:fillRect/>
                          </a:stretch>
                        </pic:blipFill>
                        <pic:spPr>
                          <a:xfrm>
                            <a:off x="0" y="0"/>
                            <a:ext cx="1632585" cy="148336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drawing>
                <wp:inline distT="0" distB="0" distL="114300" distR="114300">
                  <wp:extent cx="2347595" cy="1648460"/>
                  <wp:effectExtent l="0" t="0" r="14605" b="12700"/>
                  <wp:docPr id="2" name="图片 1" descr="171837188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18371883136"/>
                          <pic:cNvPicPr>
                            <a:picLocks noChangeAspect="1"/>
                          </pic:cNvPicPr>
                        </pic:nvPicPr>
                        <pic:blipFill>
                          <a:blip r:embed="rId7"/>
                          <a:stretch>
                            <a:fillRect/>
                          </a:stretch>
                        </pic:blipFill>
                        <pic:spPr>
                          <a:xfrm>
                            <a:off x="0" y="0"/>
                            <a:ext cx="2347595" cy="1648460"/>
                          </a:xfrm>
                          <a:prstGeom prst="rect">
                            <a:avLst/>
                          </a:prstGeom>
                          <a:noFill/>
                          <a:ln>
                            <a:noFill/>
                          </a:ln>
                        </pic:spPr>
                      </pic:pic>
                    </a:graphicData>
                  </a:graphic>
                </wp:inline>
              </w:drawing>
            </w:r>
          </w:p>
        </w:tc>
        <w:tc>
          <w:tcPr>
            <w:tcW w:w="560" w:type="dxa"/>
            <w:noWrap w:val="0"/>
            <w:vAlign w:val="top"/>
          </w:tcPr>
          <w:p w14:paraId="4F9DC7B0">
            <w:pPr>
              <w:pStyle w:val="16"/>
              <w:rPr>
                <w:rFonts w:hint="eastAsia" w:ascii="宋体" w:hAnsi="宋体" w:eastAsia="宋体" w:cs="宋体"/>
                <w:i w:val="0"/>
                <w:iCs w:val="0"/>
                <w:color w:val="000000"/>
                <w:kern w:val="0"/>
                <w:sz w:val="21"/>
                <w:szCs w:val="21"/>
                <w:u w:val="none"/>
                <w:lang w:val="en-US" w:eastAsia="zh-CN" w:bidi="ar"/>
              </w:rPr>
            </w:pPr>
          </w:p>
        </w:tc>
      </w:tr>
      <w:tr w14:paraId="7EFC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02D4E7F1">
            <w:pPr>
              <w:pStyle w:val="16"/>
              <w:spacing w:before="3"/>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55" w:type="dxa"/>
            <w:noWrap w:val="0"/>
            <w:vAlign w:val="center"/>
          </w:tcPr>
          <w:p w14:paraId="08B71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教师椅</w:t>
            </w:r>
          </w:p>
        </w:tc>
        <w:tc>
          <w:tcPr>
            <w:tcW w:w="7278" w:type="dxa"/>
            <w:noWrap w:val="0"/>
            <w:vAlign w:val="center"/>
          </w:tcPr>
          <w:p w14:paraId="1B6D916D">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1.靠背：原生PP材质+透气网布；</w:t>
            </w:r>
          </w:p>
          <w:p w14:paraId="0F1A7C24">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坐垫：透气网布、海绵+木板；</w:t>
            </w:r>
          </w:p>
          <w:p w14:paraId="0D0946E7">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扶手：PP材质</w:t>
            </w:r>
          </w:p>
          <w:p w14:paraId="5B42E4B2">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 底盘：2.5MM加厚钢板底盘</w:t>
            </w:r>
          </w:p>
          <w:p w14:paraId="32D18851">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 气压杆：可升降高纯度氮气加厚防爆气压杆</w:t>
            </w:r>
          </w:p>
          <w:p w14:paraId="52C7EA08">
            <w:pPr>
              <w:spacing w:line="36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 椅脚：五星尼龙脚轮</w:t>
            </w:r>
          </w:p>
          <w:p w14:paraId="66D7A316">
            <w:pPr>
              <w:spacing w:line="360" w:lineRule="auto"/>
              <w:jc w:val="left"/>
              <w:rPr>
                <w:rFonts w:hint="eastAsia" w:ascii="Times New Roman"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7. 参</w:t>
            </w:r>
            <w:r>
              <w:rPr>
                <w:rFonts w:hint="eastAsia" w:ascii="Times New Roman" w:hAnsi="Times New Roman" w:eastAsia="宋体" w:cs="Times New Roman"/>
                <w:lang w:val="en-US" w:eastAsia="zh-CN"/>
              </w:rPr>
              <w:t>考图示</w:t>
            </w:r>
          </w:p>
          <w:p w14:paraId="5A3E8F47">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-24130</wp:posOffset>
                  </wp:positionH>
                  <wp:positionV relativeFrom="paragraph">
                    <wp:posOffset>26670</wp:posOffset>
                  </wp:positionV>
                  <wp:extent cx="1100455" cy="1676400"/>
                  <wp:effectExtent l="0" t="0" r="12065" b="0"/>
                  <wp:wrapSquare wrapText="bothSides"/>
                  <wp:docPr id="6" name="图片 6" descr="171837290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18372900204"/>
                          <pic:cNvPicPr>
                            <a:picLocks noChangeAspect="1"/>
                          </pic:cNvPicPr>
                        </pic:nvPicPr>
                        <pic:blipFill>
                          <a:blip r:embed="rId8"/>
                          <a:stretch>
                            <a:fillRect/>
                          </a:stretch>
                        </pic:blipFill>
                        <pic:spPr>
                          <a:xfrm>
                            <a:off x="0" y="0"/>
                            <a:ext cx="1100455" cy="1676400"/>
                          </a:xfrm>
                          <a:prstGeom prst="rect">
                            <a:avLst/>
                          </a:prstGeom>
                          <a:noFill/>
                          <a:ln>
                            <a:noFill/>
                          </a:ln>
                        </pic:spPr>
                      </pic:pic>
                    </a:graphicData>
                  </a:graphic>
                </wp:anchor>
              </w:drawing>
            </w:r>
          </w:p>
        </w:tc>
        <w:tc>
          <w:tcPr>
            <w:tcW w:w="560" w:type="dxa"/>
            <w:noWrap w:val="0"/>
            <w:vAlign w:val="top"/>
          </w:tcPr>
          <w:p w14:paraId="309BEE7D">
            <w:pPr>
              <w:pStyle w:val="16"/>
              <w:rPr>
                <w:rFonts w:hint="eastAsia" w:ascii="宋体" w:hAnsi="宋体" w:eastAsia="宋体" w:cs="宋体"/>
                <w:i w:val="0"/>
                <w:iCs w:val="0"/>
                <w:color w:val="000000"/>
                <w:kern w:val="0"/>
                <w:sz w:val="21"/>
                <w:szCs w:val="21"/>
                <w:u w:val="none"/>
                <w:lang w:val="en-US" w:eastAsia="zh-CN" w:bidi="ar"/>
              </w:rPr>
            </w:pPr>
          </w:p>
        </w:tc>
      </w:tr>
      <w:tr w14:paraId="66FE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784252BF">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955" w:type="dxa"/>
            <w:noWrap w:val="0"/>
            <w:vAlign w:val="center"/>
          </w:tcPr>
          <w:p w14:paraId="0C9A1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安全交换网关</w:t>
            </w:r>
          </w:p>
        </w:tc>
        <w:tc>
          <w:tcPr>
            <w:tcW w:w="7278" w:type="dxa"/>
            <w:noWrap w:val="0"/>
            <w:vAlign w:val="center"/>
          </w:tcPr>
          <w:p w14:paraId="6A58DB2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1.支持固化千兆电口≥5个，内置存储不小于4GB；</w:t>
            </w:r>
          </w:p>
          <w:p w14:paraId="48B13C7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2.支持静态路由、RIP(V1/V2)、OSPF等多种路由协议；</w:t>
            </w:r>
          </w:p>
          <w:p w14:paraId="0CE893C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3.要求所投产品支持应用路由功能，支持基于通讯、视频等应用进行路由选择，应用路由流量分支明细及命中情况可通过图表呈现；</w:t>
            </w:r>
          </w:p>
          <w:p w14:paraId="0DBE9FC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4.要求所投产品支持线路流量逃生，定时探测线路是否正常。在线路异常时，及时将该线路DOWN掉，使得应用能够从正常线路出去；</w:t>
            </w:r>
          </w:p>
          <w:p w14:paraId="728E11A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5.支持流量识别保障功能：能够精确识别网络应用，保障关键业务的系统带宽，具备完善的应用协议库；</w:t>
            </w:r>
          </w:p>
          <w:p w14:paraId="3F16A9B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6.★支持IPsecVPN和SSLVPN协议，支持VPN限速以及VPN拓扑自动生成功能；</w:t>
            </w:r>
          </w:p>
          <w:p w14:paraId="0D734F6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7.★具备针对用户对象、时间对象、指定流控策略、支持VPN内的流量控制；</w:t>
            </w:r>
          </w:p>
          <w:p w14:paraId="13A5CB4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8.可设置无线用户黑白名单，支持二层用户隔离，WIFI隐藏，关闭网络时间，优先接入5G网络功能，支持AP状态信息查看，支持AP批量升级，支持反制非法AP。</w:t>
            </w:r>
          </w:p>
        </w:tc>
        <w:tc>
          <w:tcPr>
            <w:tcW w:w="560" w:type="dxa"/>
            <w:noWrap w:val="0"/>
            <w:vAlign w:val="top"/>
          </w:tcPr>
          <w:p w14:paraId="2B4205BC">
            <w:pPr>
              <w:pStyle w:val="16"/>
              <w:rPr>
                <w:rFonts w:hint="eastAsia" w:ascii="宋体" w:hAnsi="宋体" w:eastAsia="宋体" w:cs="宋体"/>
                <w:i w:val="0"/>
                <w:iCs w:val="0"/>
                <w:color w:val="000000"/>
                <w:kern w:val="0"/>
                <w:sz w:val="21"/>
                <w:szCs w:val="21"/>
                <w:u w:val="none"/>
                <w:lang w:val="en-US" w:eastAsia="zh-CN" w:bidi="ar"/>
              </w:rPr>
            </w:pPr>
          </w:p>
        </w:tc>
      </w:tr>
      <w:tr w14:paraId="72FE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noWrap w:val="0"/>
            <w:vAlign w:val="center"/>
          </w:tcPr>
          <w:p w14:paraId="6A4C95FE">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4</w:t>
            </w:r>
          </w:p>
        </w:tc>
        <w:tc>
          <w:tcPr>
            <w:tcW w:w="955" w:type="dxa"/>
            <w:noWrap w:val="0"/>
            <w:vAlign w:val="center"/>
          </w:tcPr>
          <w:p w14:paraId="2C175763">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7278" w:type="dxa"/>
            <w:noWrap w:val="0"/>
            <w:vAlign w:val="center"/>
          </w:tcPr>
          <w:p w14:paraId="5FB4F33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千兆以太网交换机，背板带宽：32Gbps，包转发率：24Mpps，端口描述：16个千兆电口，支持端口状态显示、端口流量统计、端口双工/协商速率配置、流控配置，安全特性：支持广播风暴抑制、端口限速、端口隔离，</w:t>
            </w:r>
          </w:p>
          <w:p w14:paraId="563AAED7">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管理特性：支持通过WEB管理界面、MACC云平台、手机APP进行管理配置。</w:t>
            </w:r>
          </w:p>
        </w:tc>
        <w:tc>
          <w:tcPr>
            <w:tcW w:w="560" w:type="dxa"/>
            <w:noWrap w:val="0"/>
            <w:vAlign w:val="top"/>
          </w:tcPr>
          <w:p w14:paraId="6183E4E7">
            <w:pPr>
              <w:pStyle w:val="16"/>
              <w:rPr>
                <w:rFonts w:hint="eastAsia" w:ascii="宋体" w:hAnsi="宋体" w:eastAsia="宋体" w:cs="宋体"/>
                <w:i w:val="0"/>
                <w:iCs w:val="0"/>
                <w:color w:val="000000"/>
                <w:kern w:val="0"/>
                <w:sz w:val="21"/>
                <w:szCs w:val="21"/>
                <w:u w:val="none"/>
                <w:lang w:val="en-US" w:eastAsia="zh-CN" w:bidi="ar"/>
              </w:rPr>
            </w:pPr>
          </w:p>
        </w:tc>
      </w:tr>
      <w:tr w14:paraId="3E35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noWrap w:val="0"/>
            <w:vAlign w:val="center"/>
          </w:tcPr>
          <w:p w14:paraId="7875DF81">
            <w:pPr>
              <w:pStyle w:val="16"/>
              <w:ind w:right="321" w:right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5</w:t>
            </w:r>
          </w:p>
        </w:tc>
        <w:tc>
          <w:tcPr>
            <w:tcW w:w="955" w:type="dxa"/>
            <w:noWrap w:val="0"/>
            <w:vAlign w:val="center"/>
          </w:tcPr>
          <w:p w14:paraId="6BACD6F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六类网线</w:t>
            </w:r>
          </w:p>
        </w:tc>
        <w:tc>
          <w:tcPr>
            <w:tcW w:w="7278" w:type="dxa"/>
            <w:noWrap w:val="0"/>
            <w:vAlign w:val="center"/>
          </w:tcPr>
          <w:p w14:paraId="3968236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1.通过标准 250MHz 带宽测试要求 可扩展到 550MHz 带宽； </w:t>
            </w:r>
          </w:p>
          <w:p w14:paraId="5E242A0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2.单根导体直流电阻：≤9.5Ω/100m，额定传输速率(NVP)：69%； </w:t>
            </w:r>
          </w:p>
          <w:p w14:paraId="0565A7A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3.电缆对数：4 对，十字骨架材料：PE 混合物； </w:t>
            </w:r>
          </w:p>
          <w:p w14:paraId="6327105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4.导体材料：无氧圆铜（纯度 99.99%）； </w:t>
            </w:r>
          </w:p>
          <w:p w14:paraId="44A869F8">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5.最小弯曲半径：10 倍电缆外径； </w:t>
            </w:r>
          </w:p>
          <w:p w14:paraId="4B795E8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6.线径：0.53 </w:t>
            </w:r>
          </w:p>
        </w:tc>
        <w:tc>
          <w:tcPr>
            <w:tcW w:w="560" w:type="dxa"/>
            <w:noWrap w:val="0"/>
            <w:vAlign w:val="top"/>
          </w:tcPr>
          <w:p w14:paraId="546EB0A0">
            <w:pPr>
              <w:pStyle w:val="16"/>
              <w:rPr>
                <w:rFonts w:hint="eastAsia" w:ascii="宋体" w:hAnsi="宋体" w:eastAsia="宋体" w:cs="宋体"/>
                <w:i w:val="0"/>
                <w:iCs w:val="0"/>
                <w:color w:val="000000"/>
                <w:kern w:val="0"/>
                <w:sz w:val="21"/>
                <w:szCs w:val="21"/>
                <w:u w:val="none"/>
                <w:lang w:val="en-US" w:eastAsia="zh-CN" w:bidi="ar"/>
              </w:rPr>
            </w:pPr>
          </w:p>
        </w:tc>
      </w:tr>
      <w:tr w14:paraId="3E37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noWrap w:val="0"/>
            <w:vAlign w:val="center"/>
          </w:tcPr>
          <w:p w14:paraId="2AD27669">
            <w:pPr>
              <w:pStyle w:val="16"/>
              <w:ind w:right="321" w:rightChars="0"/>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55" w:type="dxa"/>
            <w:noWrap w:val="0"/>
            <w:vAlign w:val="center"/>
          </w:tcPr>
          <w:p w14:paraId="7D49D0E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机柜</w:t>
            </w:r>
          </w:p>
        </w:tc>
        <w:tc>
          <w:tcPr>
            <w:tcW w:w="7278" w:type="dxa"/>
            <w:noWrap w:val="0"/>
            <w:vAlign w:val="center"/>
          </w:tcPr>
          <w:p w14:paraId="6D5DC7F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前门钢化玻璃或网孔；含PDU插座</w:t>
            </w:r>
          </w:p>
          <w:p w14:paraId="1B3B1B7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整体承重达到800 公斤；</w:t>
            </w:r>
          </w:p>
          <w:p w14:paraId="08982E45">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规格：600*600*1200MM。</w:t>
            </w:r>
          </w:p>
        </w:tc>
        <w:tc>
          <w:tcPr>
            <w:tcW w:w="560" w:type="dxa"/>
            <w:noWrap w:val="0"/>
            <w:vAlign w:val="top"/>
          </w:tcPr>
          <w:p w14:paraId="016748D5">
            <w:pPr>
              <w:pStyle w:val="16"/>
              <w:rPr>
                <w:rFonts w:hint="eastAsia" w:ascii="宋体" w:hAnsi="宋体" w:eastAsia="宋体" w:cs="宋体"/>
                <w:i w:val="0"/>
                <w:iCs w:val="0"/>
                <w:color w:val="000000"/>
                <w:kern w:val="0"/>
                <w:sz w:val="21"/>
                <w:szCs w:val="21"/>
                <w:u w:val="none"/>
                <w:lang w:val="en-US" w:eastAsia="zh-CN" w:bidi="ar"/>
              </w:rPr>
            </w:pPr>
          </w:p>
        </w:tc>
      </w:tr>
      <w:tr w14:paraId="47D0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367DC454">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955" w:type="dxa"/>
            <w:vAlign w:val="center"/>
          </w:tcPr>
          <w:p w14:paraId="4B239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86寸智慧黑板</w:t>
            </w:r>
          </w:p>
        </w:tc>
        <w:tc>
          <w:tcPr>
            <w:tcW w:w="7278" w:type="dxa"/>
            <w:vAlign w:val="center"/>
          </w:tcPr>
          <w:p w14:paraId="72D5CCB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一、整机设计</w:t>
            </w:r>
          </w:p>
          <w:p w14:paraId="41631DC8">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采用全金属外壳，三拼接平面一体化设计，屏幕边缘采用圆角包边防护，整机背板采用金属材质。整机设备副屏支持磁吸附功能，可以满足带有磁吸的板擦等教具进行吸附在副屏上。采用86液晶显示器。整机采用UHD超高清LED液晶屏，显示比例16:9，分辨率3840×2160。</w:t>
            </w:r>
          </w:p>
          <w:p w14:paraId="14F5344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整机支持蓝牙Bluetooth 5.4标准。</w:t>
            </w:r>
          </w:p>
          <w:p w14:paraId="3E614D9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设备支持5个自定义前置按键，“设置”、“音量-”，“音量+”，“录屏”，“护眼”按键，可通过自定义设置实现前置面板功能按键一键启用任一全局小工具、快捷开关。嵌入式系统版本不低于Android 13，内存≥2GB，存储空间≥8GB。采用红外触控方式，支持Windows系统中进行40点或以上触控，支持在Android系统中进行40点或以上触控。</w:t>
            </w:r>
          </w:p>
          <w:p w14:paraId="3A63A4B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整机内置2.2声道扬声器，位于设备上边框，顶置朝前发声，前朝向10W高音扬声器2个，上朝向20W中低音扬声器2个，额定总功率60W。整机内置扬声器采用缝隙发声技术，喇叭采用槽式开口设计，不大于5.8mm。</w:t>
            </w:r>
          </w:p>
          <w:p w14:paraId="4F0C1E9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支持标准、听力、观影和AI空间感知音效模式，AI空间感知音效模式可通过内置麦克风采集教室物理环境声音，自动生成符合当前教室物理环境的频段、音量、音效。</w:t>
            </w:r>
          </w:p>
          <w:p w14:paraId="2F6AC6F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整机背光系统支持DC调光方式，多级亮度调节，支持白颜色背景下最暗亮度≤100nit，用于提升显示对比度。</w:t>
            </w:r>
          </w:p>
          <w:p w14:paraId="431B215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系统支持手势上滑调出人工智能画质调节模式（AI-PQ），在安卓通道下可根据屏幕内容自动调节画质参数，当屏幕出现人物、建筑、夜景等元素时，自动调整对比度、饱和度、锐利度、色调色相值、高光/阴影。</w:t>
            </w:r>
          </w:p>
          <w:p w14:paraId="19DF868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发出频率为18kHz-22kHz超声波信号，智能手机通过麦克风接收后，智能手机与整机无需在同一局域网内，可实现配对，一键投屏，用户无需手动输入投屏码或扫码获取投屏码。整机Windows通道支持文件传输应用，支持通过扫码、wifi直联、超声三种方式与手机进行握手连接，实现文件传输功能。</w:t>
            </w:r>
          </w:p>
          <w:p w14:paraId="0F81AC8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整机内置双WiFi6无线网卡（不接受外接），在Android下支持无线设备同时连接数量≥32个，在Windows系统下支持无线设备同时连接≥8个。</w:t>
            </w:r>
          </w:p>
          <w:p w14:paraId="4A4EC70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上边框内置非独立式摄像头，采用一体化集成设计；摄像头数量≥3个；具备摄像头工作指示灯，摄像头运行时，有指示灯提示。内置非独立式3个智能拼接摄像头，清晰度≥1600，视场角≥141度且水平视场角≥139度，拍摄像素≥1600万，支持输出8192×2048分辨率的照片和视频，支持画面畸变矫正功能 。内置非独立摄像头模组，同时输出至少 3 路视频流，同时支持课堂远程巡课、课堂教学数据采集、本地画面预览（拍照或视频录制）</w:t>
            </w:r>
          </w:p>
          <w:p w14:paraId="4BFDC4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整机支持提笔书写，在Windows系统下可实现无需点击任意功能入口，当检测到红外笔笔尖接触屏幕时，自动进入书写模式。</w:t>
            </w:r>
          </w:p>
          <w:p w14:paraId="707CE29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二、电脑模块</w:t>
            </w:r>
          </w:p>
          <w:p w14:paraId="2457FCE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主板搭载Intel酷睿系列 i5或以上CPU、内存：16GB DDR4笔记本内存或以上配置、硬盘：512 GB或以上SSD固态硬盘。</w:t>
            </w:r>
          </w:p>
          <w:p w14:paraId="08DE8BA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机身采用热浸镀锌金属材质，采用智能风扇低噪音散热设计，以预留足够散热空间，确保封闭空间内有效散热。具有标准PC防盗锁孔。</w:t>
            </w:r>
          </w:p>
          <w:p w14:paraId="7D5B7DF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PC模块的USB接口须为冗余备份接口，在正常使用整机的内置摄像头、内置麦克风功能时，USB接口不被占用，确保教师有足够的接口外接存储设备及显示设备。</w:t>
            </w:r>
          </w:p>
        </w:tc>
        <w:tc>
          <w:tcPr>
            <w:tcW w:w="560" w:type="dxa"/>
            <w:vAlign w:val="top"/>
          </w:tcPr>
          <w:p w14:paraId="171EE1DC">
            <w:pPr>
              <w:pStyle w:val="16"/>
              <w:rPr>
                <w:rFonts w:hint="eastAsia" w:ascii="宋体" w:hAnsi="宋体" w:eastAsia="宋体" w:cs="宋体"/>
                <w:i w:val="0"/>
                <w:iCs w:val="0"/>
                <w:color w:val="000000"/>
                <w:kern w:val="0"/>
                <w:sz w:val="21"/>
                <w:szCs w:val="21"/>
                <w:u w:val="none"/>
                <w:lang w:val="en-US" w:eastAsia="zh-CN" w:bidi="ar"/>
              </w:rPr>
            </w:pPr>
          </w:p>
        </w:tc>
      </w:tr>
      <w:tr w14:paraId="30F8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04DEB72">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955" w:type="dxa"/>
            <w:vAlign w:val="center"/>
          </w:tcPr>
          <w:p w14:paraId="6CD089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智能音频主机</w:t>
            </w:r>
          </w:p>
        </w:tc>
        <w:tc>
          <w:tcPr>
            <w:tcW w:w="7278" w:type="dxa"/>
            <w:vAlign w:val="center"/>
          </w:tcPr>
          <w:p w14:paraId="0CABF9C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主机采用纯嵌入一体式设计,高度1U，内置静音恒温散热风扇。</w:t>
            </w:r>
          </w:p>
          <w:p w14:paraId="60BC47E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设备采用宽电压开关电源供电，AC120V-240V宽电压范围工作，内部电路板采用防潮工艺。</w:t>
            </w:r>
          </w:p>
          <w:p w14:paraId="68CC789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前面板带TFT彩色触摸屏，支持校徽定制，支持设置屏幕6位操作密码解锁。</w:t>
            </w:r>
          </w:p>
          <w:p w14:paraId="550C720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采用高清HD级数字功放芯片组，解析力更高，发热量低。具有延时保护、短路过流保护、过热保护。</w:t>
            </w:r>
          </w:p>
          <w:p w14:paraId="204886D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采用高速数字信号处理器，主频≥800MHz，最大主频1000MHz。</w:t>
            </w:r>
          </w:p>
          <w:p w14:paraId="707FAFD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主机前面板带USB接口，支持U盘录音，支持最大32GB,FAT32格式，最多可录音时常≥1000小时。</w:t>
            </w:r>
          </w:p>
          <w:p w14:paraId="41016EB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设备具有6路音频输入、8路音频输出（其中2路音频输出到功放）4路GPIO逻辑自定义接口。。</w:t>
            </w:r>
          </w:p>
          <w:p w14:paraId="5D5C704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主机软件支持6路输入和8路输出实时动态电平表显示功能，支持分量式音频矩阵。</w:t>
            </w:r>
          </w:p>
          <w:p w14:paraId="6AD7E53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具有6路输入8路输出音频矩阵管理功能，每路输入通道带支持扩展器、自带增益、参数模块。每路输出通道带高低通、参数均衡、限幅器模块。软件支持反馈抑制、回声抑制、混音矩阵、闪避器、电平表功能模块。</w:t>
            </w:r>
          </w:p>
          <w:p w14:paraId="642B8EB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主机软件支持麦克风60段频谱实时显示分析功能，可指导房间频率均衡调试。</w:t>
            </w:r>
          </w:p>
          <w:p w14:paraId="75AC006E">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主机支持软件可消除输入通道白噪声，白噪声最大下降≥9db。</w:t>
            </w:r>
          </w:p>
          <w:p w14:paraId="3CB96DC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音频主机连接电脑音频输入输出，电脑连接外网，可通过腾讯会议、钉钉等实现远程音频互动和本地扩声，支持去混响、环境降噪、反馈抑制、网络回声抑制算法，支持本地扩声与远程互动同时进行。</w:t>
            </w:r>
          </w:p>
        </w:tc>
        <w:tc>
          <w:tcPr>
            <w:tcW w:w="560" w:type="dxa"/>
            <w:vAlign w:val="top"/>
          </w:tcPr>
          <w:p w14:paraId="02E69377">
            <w:pPr>
              <w:pStyle w:val="16"/>
              <w:rPr>
                <w:rFonts w:hint="eastAsia" w:ascii="宋体" w:hAnsi="宋体" w:eastAsia="宋体" w:cs="宋体"/>
                <w:i w:val="0"/>
                <w:iCs w:val="0"/>
                <w:color w:val="000000"/>
                <w:kern w:val="0"/>
                <w:sz w:val="21"/>
                <w:szCs w:val="21"/>
                <w:u w:val="none"/>
                <w:lang w:val="en-US" w:eastAsia="zh-CN" w:bidi="ar"/>
              </w:rPr>
            </w:pPr>
          </w:p>
        </w:tc>
      </w:tr>
      <w:tr w14:paraId="5B6B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733D960">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955" w:type="dxa"/>
            <w:vAlign w:val="center"/>
          </w:tcPr>
          <w:p w14:paraId="2DFB6D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教师拾音麦克风</w:t>
            </w:r>
          </w:p>
        </w:tc>
        <w:tc>
          <w:tcPr>
            <w:tcW w:w="7278" w:type="dxa"/>
            <w:vAlign w:val="center"/>
          </w:tcPr>
          <w:p w14:paraId="042787F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输出阻抗:250Ω±30% (at 1KHz)。</w:t>
            </w:r>
          </w:p>
          <w:p w14:paraId="27D890D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灵敏度：-35dB(7.9mv 0dB=1V/Pa at 1KHz)。</w:t>
            </w:r>
          </w:p>
          <w:p w14:paraId="02EB4E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抗手机、电磁、高频干扰。</w:t>
            </w:r>
          </w:p>
          <w:p w14:paraId="56E8013D">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灵敏度较高，拾音方向性强，搭配音频处理器使用，可有效解决杂散声波源回授产生的自激啸叫问题和减轻处理器反馈声波处理的难度。</w:t>
            </w:r>
          </w:p>
          <w:p w14:paraId="1EEA7FD3">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防风海绵罩采用电台播音级别环保植绒轻量工艺，具有超高防风性能和声学性能，保证声音穿透性及清晰度。</w:t>
            </w:r>
          </w:p>
          <w:p w14:paraId="6F4D49D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频率响应（Frequency Response）：20-20KHZ。</w:t>
            </w:r>
          </w:p>
          <w:p w14:paraId="21514B5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最大声压级：135dB SPL。</w:t>
            </w:r>
          </w:p>
          <w:p w14:paraId="60C3FFA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信噪比(SNR)：≥80dB。</w:t>
            </w:r>
          </w:p>
          <w:p w14:paraId="0C893EA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幻像电源：12-52V。</w:t>
            </w:r>
          </w:p>
          <w:p w14:paraId="1A85326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内置嵌入式数字麦克风软件。</w:t>
            </w:r>
          </w:p>
        </w:tc>
        <w:tc>
          <w:tcPr>
            <w:tcW w:w="560" w:type="dxa"/>
            <w:vAlign w:val="top"/>
          </w:tcPr>
          <w:p w14:paraId="6C2F47B6">
            <w:pPr>
              <w:pStyle w:val="16"/>
              <w:rPr>
                <w:rFonts w:hint="eastAsia" w:ascii="宋体" w:hAnsi="宋体" w:eastAsia="宋体" w:cs="宋体"/>
                <w:i w:val="0"/>
                <w:iCs w:val="0"/>
                <w:color w:val="000000"/>
                <w:kern w:val="0"/>
                <w:sz w:val="21"/>
                <w:szCs w:val="21"/>
                <w:u w:val="none"/>
                <w:lang w:val="en-US" w:eastAsia="zh-CN" w:bidi="ar"/>
              </w:rPr>
            </w:pPr>
          </w:p>
        </w:tc>
      </w:tr>
      <w:tr w14:paraId="658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5689924">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955" w:type="dxa"/>
            <w:vAlign w:val="center"/>
          </w:tcPr>
          <w:p w14:paraId="64766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高保真扩声音箱</w:t>
            </w:r>
          </w:p>
        </w:tc>
        <w:tc>
          <w:tcPr>
            <w:tcW w:w="7278" w:type="dxa"/>
            <w:vAlign w:val="center"/>
          </w:tcPr>
          <w:p w14:paraId="611BD9C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采用环保水性漆表面处理，耐磨耐新,结构稳固。</w:t>
            </w:r>
          </w:p>
          <w:p w14:paraId="395790E6">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两分频设计，中低音采用6.5吋低音*1，高音采用3吋高音*1，声音明亮清晰，富有层次感。</w:t>
            </w:r>
          </w:p>
          <w:p w14:paraId="11943FA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灵活的吊挂系统，方便选用不同吊挂支架，可多面悬挂。</w:t>
            </w:r>
          </w:p>
          <w:p w14:paraId="576FE68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频率响应范围：50Hz-18kHz。</w:t>
            </w:r>
          </w:p>
          <w:p w14:paraId="55CF5B3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单元配置：6.5吋低音*1，3吋高音*1。</w:t>
            </w:r>
          </w:p>
          <w:p w14:paraId="10594DF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带万向挂架和螺丝，方便壁挂和安装。</w:t>
            </w:r>
          </w:p>
          <w:p w14:paraId="56999149">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标称阻抗：6Ω。</w:t>
            </w:r>
          </w:p>
          <w:p w14:paraId="06EAE25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额定功率：60W。</w:t>
            </w:r>
          </w:p>
          <w:p w14:paraId="5BD261F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灵敏度：98dB。</w:t>
            </w:r>
          </w:p>
          <w:p w14:paraId="33E61C32">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最大声压级：101dB。</w:t>
            </w:r>
          </w:p>
          <w:p w14:paraId="07E7AFB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为了保证设备使用的兼容性，需要保证该产品与“智能音频主机”为同一品牌。</w:t>
            </w:r>
          </w:p>
        </w:tc>
        <w:tc>
          <w:tcPr>
            <w:tcW w:w="560" w:type="dxa"/>
            <w:vAlign w:val="top"/>
          </w:tcPr>
          <w:p w14:paraId="2FFDC848">
            <w:pPr>
              <w:pStyle w:val="16"/>
              <w:rPr>
                <w:rFonts w:hint="eastAsia" w:ascii="宋体" w:hAnsi="宋体" w:eastAsia="宋体" w:cs="宋体"/>
                <w:i w:val="0"/>
                <w:iCs w:val="0"/>
                <w:color w:val="000000"/>
                <w:kern w:val="0"/>
                <w:sz w:val="21"/>
                <w:szCs w:val="21"/>
                <w:u w:val="none"/>
                <w:lang w:val="en-US" w:eastAsia="zh-CN" w:bidi="ar"/>
              </w:rPr>
            </w:pPr>
          </w:p>
        </w:tc>
      </w:tr>
      <w:tr w14:paraId="017F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557904B">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955" w:type="dxa"/>
            <w:vAlign w:val="center"/>
          </w:tcPr>
          <w:p w14:paraId="0094435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微景观制作台具（60*45*45cm）</w:t>
            </w:r>
          </w:p>
        </w:tc>
        <w:tc>
          <w:tcPr>
            <w:tcW w:w="7278" w:type="dxa"/>
            <w:vAlign w:val="center"/>
          </w:tcPr>
          <w:p w14:paraId="3E80D6FC">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材料：金晶超白玻璃水陆缸；工艺：边角精磨，水晶倒角，玻璃厚度8mm。柜体高75-80cm环保欧松板。</w:t>
            </w:r>
          </w:p>
        </w:tc>
        <w:tc>
          <w:tcPr>
            <w:tcW w:w="560" w:type="dxa"/>
            <w:vAlign w:val="top"/>
          </w:tcPr>
          <w:p w14:paraId="1E9605AA">
            <w:pPr>
              <w:pStyle w:val="16"/>
              <w:rPr>
                <w:rFonts w:hint="eastAsia" w:ascii="宋体" w:hAnsi="宋体" w:eastAsia="宋体" w:cs="宋体"/>
                <w:i w:val="0"/>
                <w:iCs w:val="0"/>
                <w:color w:val="000000"/>
                <w:kern w:val="0"/>
                <w:sz w:val="21"/>
                <w:szCs w:val="21"/>
                <w:u w:val="none"/>
                <w:lang w:val="en-US" w:eastAsia="zh-CN" w:bidi="ar"/>
              </w:rPr>
            </w:pPr>
          </w:p>
        </w:tc>
      </w:tr>
      <w:tr w14:paraId="35ED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9BBD1DD">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955" w:type="dxa"/>
            <w:vAlign w:val="center"/>
          </w:tcPr>
          <w:p w14:paraId="4BE580E3">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微景观制作台具（80*45*45cm）</w:t>
            </w:r>
          </w:p>
        </w:tc>
        <w:tc>
          <w:tcPr>
            <w:tcW w:w="7278" w:type="dxa"/>
            <w:vAlign w:val="center"/>
          </w:tcPr>
          <w:p w14:paraId="26D1E4D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材料：金晶超白玻璃水陆缸；工艺：边角精磨，水晶倒角，玻璃厚度8mm。柜体高75-80cm环保欧松板。</w:t>
            </w:r>
          </w:p>
        </w:tc>
        <w:tc>
          <w:tcPr>
            <w:tcW w:w="560" w:type="dxa"/>
            <w:vAlign w:val="top"/>
          </w:tcPr>
          <w:p w14:paraId="6FC27575">
            <w:pPr>
              <w:pStyle w:val="16"/>
              <w:rPr>
                <w:rFonts w:hint="eastAsia" w:ascii="宋体" w:hAnsi="宋体" w:eastAsia="宋体" w:cs="宋体"/>
                <w:i w:val="0"/>
                <w:iCs w:val="0"/>
                <w:color w:val="000000"/>
                <w:kern w:val="0"/>
                <w:sz w:val="21"/>
                <w:szCs w:val="21"/>
                <w:u w:val="none"/>
                <w:lang w:val="en-US" w:eastAsia="zh-CN" w:bidi="ar"/>
              </w:rPr>
            </w:pPr>
          </w:p>
        </w:tc>
      </w:tr>
      <w:tr w14:paraId="51E6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8A8CD01">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955" w:type="dxa"/>
            <w:vAlign w:val="center"/>
          </w:tcPr>
          <w:p w14:paraId="0C6E6A06">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微景观制作台具（100*45*45cm）</w:t>
            </w:r>
          </w:p>
        </w:tc>
        <w:tc>
          <w:tcPr>
            <w:tcW w:w="7278" w:type="dxa"/>
            <w:vAlign w:val="center"/>
          </w:tcPr>
          <w:p w14:paraId="7457786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材料：金晶超白玻璃水陆缸；工艺：边角精磨，水晶倒角，玻璃厚度8mm。柜体高75-80cm环保欧松板。含进出水泵，过滤槽，支架式全光谱水草氧气灯，雾化器，循环水系管料等</w:t>
            </w:r>
          </w:p>
        </w:tc>
        <w:tc>
          <w:tcPr>
            <w:tcW w:w="560" w:type="dxa"/>
            <w:vAlign w:val="top"/>
          </w:tcPr>
          <w:p w14:paraId="1158DFB5">
            <w:pPr>
              <w:pStyle w:val="16"/>
              <w:rPr>
                <w:rFonts w:hint="eastAsia" w:ascii="宋体" w:hAnsi="宋体" w:eastAsia="宋体" w:cs="宋体"/>
                <w:i w:val="0"/>
                <w:iCs w:val="0"/>
                <w:color w:val="000000"/>
                <w:kern w:val="0"/>
                <w:sz w:val="21"/>
                <w:szCs w:val="21"/>
                <w:u w:val="none"/>
                <w:lang w:val="en-US" w:eastAsia="zh-CN" w:bidi="ar"/>
              </w:rPr>
            </w:pPr>
          </w:p>
        </w:tc>
      </w:tr>
      <w:tr w14:paraId="789D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0FA06DF">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955" w:type="dxa"/>
            <w:vAlign w:val="center"/>
          </w:tcPr>
          <w:p w14:paraId="4B689A04">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条形灯</w:t>
            </w:r>
          </w:p>
        </w:tc>
        <w:tc>
          <w:tcPr>
            <w:tcW w:w="7278" w:type="dxa"/>
            <w:vAlign w:val="center"/>
          </w:tcPr>
          <w:p w14:paraId="7F2FAC15">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1200*100cm,220V*40W,哑黑单色LED灯，5000K色温</w:t>
            </w:r>
            <w:r>
              <w:rPr>
                <w:rFonts w:hint="eastAsia" w:ascii="宋体" w:hAnsi="宋体" w:eastAsia="宋体" w:cs="宋体"/>
                <w:i w:val="0"/>
                <w:iCs w:val="0"/>
                <w:color w:val="000000"/>
                <w:kern w:val="0"/>
                <w:sz w:val="21"/>
                <w:szCs w:val="21"/>
                <w:u w:val="none"/>
                <w:lang w:val="en-US" w:eastAsia="zh-CN" w:bidi="ar"/>
              </w:rPr>
              <w:fldChar w:fldCharType="begin"/>
            </w:r>
            <w:r>
              <w:rPr>
                <w:rFonts w:hint="eastAsia" w:ascii="宋体" w:hAnsi="宋体" w:eastAsia="宋体" w:cs="宋体"/>
                <w:i w:val="0"/>
                <w:iCs w:val="0"/>
                <w:color w:val="000000"/>
                <w:kern w:val="0"/>
                <w:sz w:val="21"/>
                <w:szCs w:val="21"/>
                <w:u w:val="none"/>
                <w:lang w:val="en-US" w:eastAsia="zh-CN" w:bidi="ar"/>
              </w:rPr>
              <w:instrText xml:space="preserve">INCLUDEPICTURE \d "C:\\Users\\Administrator\\AppData\\Roaming\\Tencent\\Users\\82841751\\QQ\\WinTemp\\RichOle\\]YMCR$SV}TVH098FKQHY3T2.png" \* MERGEFORMATINET </w:instrText>
            </w:r>
            <w:r>
              <w:rPr>
                <w:rFonts w:hint="eastAsia" w:ascii="宋体" w:hAnsi="宋体" w:eastAsia="宋体" w:cs="宋体"/>
                <w:i w:val="0"/>
                <w:iCs w:val="0"/>
                <w:color w:val="000000"/>
                <w:kern w:val="0"/>
                <w:sz w:val="21"/>
                <w:szCs w:val="21"/>
                <w:u w:val="none"/>
                <w:lang w:val="en-US" w:eastAsia="zh-CN" w:bidi="ar"/>
              </w:rPr>
              <w:fldChar w:fldCharType="separate"/>
            </w:r>
            <w:r>
              <w:rPr>
                <w:rFonts w:hint="eastAsia" w:ascii="宋体" w:hAnsi="宋体" w:eastAsia="宋体" w:cs="宋体"/>
                <w:i w:val="0"/>
                <w:iCs w:val="0"/>
                <w:color w:val="000000"/>
                <w:kern w:val="0"/>
                <w:sz w:val="21"/>
                <w:szCs w:val="21"/>
                <w:u w:val="none"/>
                <w:lang w:val="en-US" w:eastAsia="zh-CN" w:bidi="ar"/>
              </w:rPr>
              <w:drawing>
                <wp:inline distT="0" distB="0" distL="114300" distR="114300">
                  <wp:extent cx="1427480" cy="490855"/>
                  <wp:effectExtent l="0" t="0" r="5080" b="1206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9"/>
                          <a:stretch>
                            <a:fillRect/>
                          </a:stretch>
                        </pic:blipFill>
                        <pic:spPr>
                          <a:xfrm>
                            <a:off x="0" y="0"/>
                            <a:ext cx="1427480" cy="490855"/>
                          </a:xfrm>
                          <a:prstGeom prst="rect">
                            <a:avLst/>
                          </a:prstGeom>
                          <a:noFill/>
                          <a:ln>
                            <a:noFill/>
                          </a:ln>
                        </pic:spPr>
                      </pic:pic>
                    </a:graphicData>
                  </a:graphic>
                </wp:inline>
              </w:drawing>
            </w:r>
            <w:r>
              <w:rPr>
                <w:rFonts w:hint="eastAsia" w:ascii="宋体" w:hAnsi="宋体" w:eastAsia="宋体" w:cs="宋体"/>
                <w:i w:val="0"/>
                <w:iCs w:val="0"/>
                <w:color w:val="000000"/>
                <w:kern w:val="0"/>
                <w:sz w:val="21"/>
                <w:szCs w:val="21"/>
                <w:u w:val="none"/>
                <w:lang w:val="en-US" w:eastAsia="zh-CN" w:bidi="ar"/>
              </w:rPr>
              <w:fldChar w:fldCharType="end"/>
            </w:r>
          </w:p>
        </w:tc>
        <w:tc>
          <w:tcPr>
            <w:tcW w:w="560" w:type="dxa"/>
            <w:vAlign w:val="top"/>
          </w:tcPr>
          <w:p w14:paraId="04B014A9">
            <w:pPr>
              <w:pStyle w:val="16"/>
              <w:rPr>
                <w:rFonts w:hint="eastAsia" w:ascii="宋体" w:hAnsi="宋体" w:eastAsia="宋体" w:cs="宋体"/>
                <w:i w:val="0"/>
                <w:iCs w:val="0"/>
                <w:color w:val="000000"/>
                <w:kern w:val="0"/>
                <w:sz w:val="21"/>
                <w:szCs w:val="21"/>
                <w:u w:val="none"/>
                <w:lang w:val="en-US" w:eastAsia="zh-CN" w:bidi="ar"/>
              </w:rPr>
            </w:pPr>
          </w:p>
        </w:tc>
      </w:tr>
      <w:tr w14:paraId="55C9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0E700BA5">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955" w:type="dxa"/>
            <w:vAlign w:val="center"/>
          </w:tcPr>
          <w:p w14:paraId="0F3EAB40">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铝方通</w:t>
            </w:r>
          </w:p>
        </w:tc>
        <w:tc>
          <w:tcPr>
            <w:tcW w:w="7278" w:type="dxa"/>
            <w:vAlign w:val="center"/>
          </w:tcPr>
          <w:p w14:paraId="6EB9465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规格5*7.5*0.3cm，颜色待定.铝合金材质；铝方通具有开放的视野，通风，透气，其线条明快整齐，层次分明，体现了简约明了的现代风格，安装拆卸简单方便,是目前流行装饰市场的主要产品。  </w:t>
            </w:r>
          </w:p>
          <w:p w14:paraId="3EE685F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主要特点：</w:t>
            </w:r>
          </w:p>
          <w:p w14:paraId="5D98683D">
            <w:pPr>
              <w:spacing w:line="360" w:lineRule="auto"/>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1.轻质：铝方通的密度较低，重量轻，易于搬运和安装。</w:t>
            </w:r>
          </w:p>
          <w:p w14:paraId="2B0A3D9D">
            <w:pPr>
              <w:spacing w:line="360" w:lineRule="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2.高强度：铝方通的拉伸强度高，抗弯强度也较高，能够承受较大的力。</w:t>
            </w:r>
          </w:p>
          <w:p w14:paraId="057EBF80">
            <w:pPr>
              <w:spacing w:line="360" w:lineRule="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3.防腐蚀：铝方通经过氧化处理，表面具有一层氧化膜，能够防止铝材被氧化和腐蚀。</w:t>
            </w:r>
          </w:p>
          <w:p w14:paraId="44968548">
            <w:pPr>
              <w:spacing w:line="360" w:lineRule="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4.易加工：铝方通易于加工，可以根据需要进行切割、打孔、弯曲等加工。</w:t>
            </w:r>
          </w:p>
          <w:p w14:paraId="20274E23">
            <w:pPr>
              <w:spacing w:line="360" w:lineRule="auto"/>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5.美观：铝方通表面经过氧化处理，具有银白色的金属光泽，能够美化建筑外观。</w:t>
            </w:r>
          </w:p>
        </w:tc>
        <w:tc>
          <w:tcPr>
            <w:tcW w:w="560" w:type="dxa"/>
            <w:vAlign w:val="top"/>
          </w:tcPr>
          <w:p w14:paraId="7E09347C">
            <w:pPr>
              <w:pStyle w:val="16"/>
              <w:rPr>
                <w:rFonts w:hint="eastAsia" w:ascii="宋体" w:hAnsi="宋体" w:eastAsia="宋体" w:cs="宋体"/>
                <w:i w:val="0"/>
                <w:iCs w:val="0"/>
                <w:color w:val="000000"/>
                <w:kern w:val="0"/>
                <w:sz w:val="21"/>
                <w:szCs w:val="21"/>
                <w:u w:val="none"/>
                <w:lang w:val="en-US" w:eastAsia="zh-CN" w:bidi="ar"/>
              </w:rPr>
            </w:pPr>
          </w:p>
        </w:tc>
      </w:tr>
      <w:tr w14:paraId="0DD3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547AD64A">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5" w:type="dxa"/>
            <w:vAlign w:val="center"/>
          </w:tcPr>
          <w:p w14:paraId="2D4A9EBB">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多功能产品展示柜</w:t>
            </w:r>
          </w:p>
        </w:tc>
        <w:tc>
          <w:tcPr>
            <w:tcW w:w="7278" w:type="dxa"/>
            <w:vAlign w:val="center"/>
          </w:tcPr>
          <w:p w14:paraId="0953100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教室靠近走廊面墙壁做多功能产品展示柜，教室后面墙做整体式多功能产品展示柜，主体颜色简约淡雅型（板材颜色待定）整体美观大方；柜体下面做双开式门，尺寸高约75cm,深度约60cm，上面整体式柜体做双开式门，尺寸高约55cm，深度约60cm；中间做产品展示区，做相应隔断及背板，展示区做白色LED射灯，部分立柱做板材包边；板材为节能环保型杉木生态板。</w:t>
            </w:r>
          </w:p>
        </w:tc>
        <w:tc>
          <w:tcPr>
            <w:tcW w:w="560" w:type="dxa"/>
            <w:vAlign w:val="top"/>
          </w:tcPr>
          <w:p w14:paraId="39D2408E">
            <w:pPr>
              <w:pStyle w:val="16"/>
              <w:rPr>
                <w:rFonts w:hint="eastAsia" w:ascii="宋体" w:hAnsi="宋体" w:eastAsia="宋体" w:cs="宋体"/>
                <w:i w:val="0"/>
                <w:iCs w:val="0"/>
                <w:color w:val="000000"/>
                <w:kern w:val="0"/>
                <w:sz w:val="21"/>
                <w:szCs w:val="21"/>
                <w:u w:val="none"/>
                <w:lang w:val="en-US" w:eastAsia="zh-CN" w:bidi="ar"/>
              </w:rPr>
            </w:pPr>
          </w:p>
        </w:tc>
      </w:tr>
      <w:tr w14:paraId="5AF0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3C00663F">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955" w:type="dxa"/>
            <w:vAlign w:val="center"/>
          </w:tcPr>
          <w:p w14:paraId="77B66E67">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台式展示柜</w:t>
            </w:r>
          </w:p>
        </w:tc>
        <w:tc>
          <w:tcPr>
            <w:tcW w:w="7278" w:type="dxa"/>
            <w:vAlign w:val="center"/>
          </w:tcPr>
          <w:p w14:paraId="303D3CE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尺寸250*100*75cm或（80cm）暂定，加厚支架，环保木质桌面，和多功能产品展示柜颜色一致，（颜色待定）顶面安装射灯。</w:t>
            </w:r>
          </w:p>
        </w:tc>
        <w:tc>
          <w:tcPr>
            <w:tcW w:w="560" w:type="dxa"/>
            <w:vAlign w:val="top"/>
          </w:tcPr>
          <w:p w14:paraId="49108308">
            <w:pPr>
              <w:pStyle w:val="16"/>
              <w:rPr>
                <w:rFonts w:hint="eastAsia" w:ascii="宋体" w:hAnsi="宋体" w:eastAsia="宋体" w:cs="宋体"/>
                <w:i w:val="0"/>
                <w:iCs w:val="0"/>
                <w:color w:val="000000"/>
                <w:kern w:val="0"/>
                <w:sz w:val="21"/>
                <w:szCs w:val="21"/>
                <w:u w:val="none"/>
                <w:lang w:val="en-US" w:eastAsia="zh-CN" w:bidi="ar"/>
              </w:rPr>
            </w:pPr>
          </w:p>
        </w:tc>
      </w:tr>
      <w:tr w14:paraId="4E2D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1E69419D">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955" w:type="dxa"/>
            <w:vAlign w:val="center"/>
          </w:tcPr>
          <w:p w14:paraId="0FB8A314">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窗帘</w:t>
            </w:r>
          </w:p>
        </w:tc>
        <w:tc>
          <w:tcPr>
            <w:tcW w:w="7278" w:type="dxa"/>
            <w:vAlign w:val="center"/>
          </w:tcPr>
          <w:p w14:paraId="4A5DFE3F">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采用单层加厚布艺窗帘，根据实际装修风格定制（供货前提供样品及配色版，颜色由采购人选定）</w:t>
            </w:r>
          </w:p>
        </w:tc>
        <w:tc>
          <w:tcPr>
            <w:tcW w:w="560" w:type="dxa"/>
            <w:vAlign w:val="top"/>
          </w:tcPr>
          <w:p w14:paraId="7D002290">
            <w:pPr>
              <w:pStyle w:val="16"/>
              <w:rPr>
                <w:rFonts w:hint="eastAsia" w:ascii="宋体" w:hAnsi="宋体" w:eastAsia="宋体" w:cs="宋体"/>
                <w:i w:val="0"/>
                <w:iCs w:val="0"/>
                <w:color w:val="000000"/>
                <w:kern w:val="0"/>
                <w:sz w:val="21"/>
                <w:szCs w:val="21"/>
                <w:u w:val="none"/>
                <w:lang w:val="en-US" w:eastAsia="zh-CN" w:bidi="ar"/>
              </w:rPr>
            </w:pPr>
          </w:p>
        </w:tc>
      </w:tr>
      <w:tr w14:paraId="14C0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67322099">
            <w:pPr>
              <w:pStyle w:val="16"/>
              <w:jc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19</w:t>
            </w:r>
          </w:p>
        </w:tc>
        <w:tc>
          <w:tcPr>
            <w:tcW w:w="955" w:type="dxa"/>
            <w:vAlign w:val="center"/>
          </w:tcPr>
          <w:p w14:paraId="420A7D49">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实训耗材</w:t>
            </w:r>
          </w:p>
        </w:tc>
        <w:tc>
          <w:tcPr>
            <w:tcW w:w="7278" w:type="dxa"/>
            <w:vAlign w:val="center"/>
          </w:tcPr>
          <w:p w14:paraId="1AC21369">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中式盆景托盘，尺寸60*30*30cm，水泥复合材质，5个；</w:t>
            </w:r>
          </w:p>
          <w:p w14:paraId="122A92BD">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中式盆景托盘，尺寸直径为60cm,高30cm，水泥复合材质，5个；</w:t>
            </w:r>
          </w:p>
          <w:p w14:paraId="1EDE32C9">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生态瓶，尺寸217mm*260mm，体积6L,自带补光灯（DC 5V 5W），高硼硅玻璃材质，5个；</w:t>
            </w:r>
          </w:p>
          <w:p w14:paraId="06F8CDBC">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植物容器，尺寸175mm（最大直径）*230mm（高）,普通玻璃材质，10个；</w:t>
            </w:r>
          </w:p>
          <w:p w14:paraId="37956BCF">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苔藓，人工驯化狭叶白发藓，6平方米；</w:t>
            </w:r>
          </w:p>
          <w:p w14:paraId="1B8696F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开口陶罐容器，尺寸25*14*18cm,6个；</w:t>
            </w:r>
          </w:p>
          <w:p w14:paraId="732D7FF4">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仿真苔藓室内装饰组合造景（含泡沫底座、石砾、仿真青苔、仿真植物）4套。</w:t>
            </w:r>
          </w:p>
        </w:tc>
        <w:tc>
          <w:tcPr>
            <w:tcW w:w="560" w:type="dxa"/>
            <w:vAlign w:val="top"/>
          </w:tcPr>
          <w:p w14:paraId="1135058D">
            <w:pPr>
              <w:pStyle w:val="16"/>
              <w:rPr>
                <w:rFonts w:hint="eastAsia" w:ascii="宋体" w:hAnsi="宋体" w:eastAsia="宋体" w:cs="宋体"/>
                <w:i w:val="0"/>
                <w:iCs w:val="0"/>
                <w:color w:val="000000"/>
                <w:kern w:val="0"/>
                <w:sz w:val="21"/>
                <w:szCs w:val="21"/>
                <w:u w:val="none"/>
                <w:lang w:val="en-US" w:eastAsia="zh-CN" w:bidi="ar"/>
              </w:rPr>
            </w:pPr>
          </w:p>
        </w:tc>
      </w:tr>
      <w:tr w14:paraId="22AF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87" w:type="dxa"/>
            <w:vAlign w:val="center"/>
          </w:tcPr>
          <w:p w14:paraId="4085E48F">
            <w:pPr>
              <w:pStyle w:val="16"/>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0</w:t>
            </w:r>
            <w:bookmarkStart w:id="2" w:name="_GoBack"/>
            <w:bookmarkEnd w:id="2"/>
          </w:p>
        </w:tc>
        <w:tc>
          <w:tcPr>
            <w:tcW w:w="955" w:type="dxa"/>
            <w:vAlign w:val="center"/>
          </w:tcPr>
          <w:p w14:paraId="3718B354">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装修集成改造</w:t>
            </w:r>
          </w:p>
        </w:tc>
        <w:tc>
          <w:tcPr>
            <w:tcW w:w="7278" w:type="dxa"/>
            <w:vAlign w:val="center"/>
          </w:tcPr>
          <w:p w14:paraId="41D4FE8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原教室顶部灯具及装饰面板等拆除工作结束后材料归类、垃圾清运指定装修垃圾堆放处后期统一外运至垃圾站，设置施工现场标牌。</w:t>
            </w:r>
          </w:p>
          <w:p w14:paraId="156B4E30">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材料进场应依次进场、统一规放，材料为施工装饰材料及网络布线涉及的国标电源线、超五类全铜网线、相关灯具等电器元件、PVC走线管、线槽、开关、施工辅材等本项目其他所有辅材。</w:t>
            </w:r>
          </w:p>
          <w:p w14:paraId="46FE0111">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电路改造：所有线缆均符合国标；PVC走线管用中财等品牌线材。</w:t>
            </w:r>
          </w:p>
          <w:p w14:paraId="090C3FA7">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照明系统：主灯光为与方通顶配套的条形LED灯，5000K色温，无频闪、不刺眼；辅助照明为筒灯及灯带等。</w:t>
            </w:r>
          </w:p>
          <w:p w14:paraId="6EBF93FA">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吊顶部分：吊顶两侧造型基层为环保欧松板，石膏板饰面，最后喷涂乳胶漆；中间主体为方通管，顶面打磨处理。</w:t>
            </w:r>
          </w:p>
          <w:p w14:paraId="6D2CE83B">
            <w:pPr>
              <w:spacing w:line="360" w:lineRule="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6.景观台射灯暂定13个。</w:t>
            </w:r>
          </w:p>
          <w:p w14:paraId="6AC3DFCE">
            <w:pPr>
              <w:spacing w:line="360" w:lineRule="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微景观制作台具：含进出水泵，过滤槽，支架式全光谱水草氧气灯，雾化器，循环水系管料及调试等</w:t>
            </w:r>
          </w:p>
          <w:p w14:paraId="42374422">
            <w:pPr>
              <w:spacing w:line="360" w:lineRule="auto"/>
              <w:rPr>
                <w:rFonts w:hint="eastAsia" w:ascii="宋体" w:hAnsi="宋体" w:eastAsia="宋体" w:cs="宋体"/>
                <w:i w:val="0"/>
                <w:iCs w:val="0"/>
                <w:color w:val="000000"/>
                <w:kern w:val="0"/>
                <w:sz w:val="21"/>
                <w:szCs w:val="21"/>
                <w:u w:val="none"/>
                <w:lang w:val="en-US" w:eastAsia="zh-CN" w:bidi="ar"/>
              </w:rPr>
            </w:pPr>
            <w:r>
              <w:rPr>
                <w:rFonts w:ascii="宋体" w:hAnsi="宋体" w:eastAsia="宋体" w:cs="宋体"/>
                <w:b/>
                <w:bCs/>
                <w:spacing w:val="-4"/>
                <w:sz w:val="22"/>
                <w:szCs w:val="22"/>
              </w:rPr>
              <w:t>★</w:t>
            </w: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把微景观实训室原模型室物品搬运至四楼模型室；国赛桌椅从赛训中心搬到新建设的微景观实训室并安装调试。</w:t>
            </w:r>
          </w:p>
        </w:tc>
        <w:tc>
          <w:tcPr>
            <w:tcW w:w="560" w:type="dxa"/>
            <w:vAlign w:val="top"/>
          </w:tcPr>
          <w:p w14:paraId="64695968">
            <w:pPr>
              <w:pStyle w:val="16"/>
              <w:rPr>
                <w:rFonts w:hint="eastAsia" w:ascii="宋体" w:hAnsi="宋体" w:eastAsia="宋体" w:cs="宋体"/>
                <w:i w:val="0"/>
                <w:iCs w:val="0"/>
                <w:color w:val="000000"/>
                <w:kern w:val="0"/>
                <w:sz w:val="21"/>
                <w:szCs w:val="21"/>
                <w:u w:val="none"/>
                <w:lang w:val="en-US" w:eastAsia="zh-CN" w:bidi="ar"/>
              </w:rPr>
            </w:pPr>
          </w:p>
        </w:tc>
      </w:tr>
    </w:tbl>
    <w:p w14:paraId="6D3184A5">
      <w:pPr>
        <w:spacing w:before="179" w:line="376" w:lineRule="auto"/>
        <w:ind w:left="16" w:right="470"/>
        <w:jc w:val="both"/>
        <w:rPr>
          <w:rFonts w:hint="eastAsia" w:ascii="宋体" w:hAnsi="宋体" w:cs="宋体"/>
          <w:b/>
          <w:kern w:val="0"/>
          <w:sz w:val="24"/>
        </w:rPr>
      </w:pPr>
      <w:r>
        <w:rPr>
          <w:rFonts w:ascii="宋体" w:hAnsi="宋体" w:eastAsia="宋体" w:cs="宋体"/>
          <w:b/>
          <w:bCs/>
          <w:spacing w:val="-3"/>
          <w:sz w:val="22"/>
          <w:szCs w:val="22"/>
        </w:rPr>
        <w:t>注：1、以上技术参数要求中如有引用的设备（货物</w:t>
      </w:r>
      <w:r>
        <w:rPr>
          <w:rFonts w:ascii="宋体" w:hAnsi="宋体" w:eastAsia="宋体" w:cs="宋体"/>
          <w:b/>
          <w:bCs/>
          <w:spacing w:val="-4"/>
          <w:sz w:val="22"/>
          <w:szCs w:val="22"/>
        </w:rPr>
        <w:t>）的品牌、规格、型号的仅供参考，报价产品必须</w:t>
      </w:r>
      <w:r>
        <w:rPr>
          <w:rFonts w:ascii="宋体" w:hAnsi="宋体" w:eastAsia="宋体" w:cs="宋体"/>
          <w:sz w:val="22"/>
          <w:szCs w:val="22"/>
        </w:rPr>
        <w:t xml:space="preserve"> </w:t>
      </w:r>
      <w:r>
        <w:rPr>
          <w:rFonts w:ascii="宋体" w:hAnsi="宋体" w:eastAsia="宋体" w:cs="宋体"/>
          <w:b/>
          <w:bCs/>
          <w:spacing w:val="-4"/>
          <w:sz w:val="22"/>
          <w:szCs w:val="22"/>
        </w:rPr>
        <w:t>实质上满足或优于所要求的技术参数。</w:t>
      </w:r>
      <w:r>
        <w:rPr>
          <w:rFonts w:ascii="宋体" w:hAnsi="宋体" w:eastAsia="宋体" w:cs="宋体"/>
          <w:spacing w:val="-4"/>
          <w:sz w:val="22"/>
          <w:szCs w:val="22"/>
        </w:rPr>
        <w:t xml:space="preserve"> </w:t>
      </w:r>
      <w:r>
        <w:rPr>
          <w:rFonts w:ascii="宋体" w:hAnsi="宋体" w:eastAsia="宋体" w:cs="宋体"/>
          <w:b/>
          <w:bCs/>
          <w:spacing w:val="-4"/>
          <w:sz w:val="22"/>
          <w:szCs w:val="22"/>
        </w:rPr>
        <w:t>2、所有带“★</w:t>
      </w:r>
      <w:r>
        <w:rPr>
          <w:rFonts w:ascii="宋体" w:hAnsi="宋体" w:eastAsia="宋体" w:cs="宋体"/>
          <w:spacing w:val="-81"/>
          <w:sz w:val="22"/>
          <w:szCs w:val="22"/>
        </w:rPr>
        <w:t xml:space="preserve"> </w:t>
      </w:r>
      <w:r>
        <w:rPr>
          <w:rFonts w:ascii="宋体" w:hAnsi="宋体" w:eastAsia="宋体" w:cs="宋体"/>
          <w:b/>
          <w:bCs/>
          <w:spacing w:val="-4"/>
          <w:sz w:val="22"/>
          <w:szCs w:val="22"/>
        </w:rPr>
        <w:t>”</w:t>
      </w:r>
      <w:r>
        <w:rPr>
          <w:rFonts w:ascii="宋体" w:hAnsi="宋体" w:eastAsia="宋体" w:cs="宋体"/>
          <w:spacing w:val="-4"/>
          <w:sz w:val="22"/>
          <w:szCs w:val="22"/>
        </w:rPr>
        <w:t xml:space="preserve"> </w:t>
      </w:r>
      <w:r>
        <w:rPr>
          <w:rFonts w:ascii="宋体" w:hAnsi="宋体" w:eastAsia="宋体" w:cs="宋体"/>
          <w:b/>
          <w:bCs/>
          <w:spacing w:val="-4"/>
          <w:sz w:val="22"/>
          <w:szCs w:val="22"/>
        </w:rPr>
        <w:t>项必须全部满足或者优于，否则视为无效报</w:t>
      </w:r>
      <w:r>
        <w:rPr>
          <w:rFonts w:ascii="宋体" w:hAnsi="宋体" w:eastAsia="宋体" w:cs="宋体"/>
          <w:b/>
          <w:bCs/>
          <w:spacing w:val="-7"/>
          <w:sz w:val="22"/>
          <w:szCs w:val="22"/>
        </w:rPr>
        <w:t>价。</w:t>
      </w:r>
    </w:p>
    <w:p w14:paraId="488451F1">
      <w:pPr>
        <w:snapToGrid w:val="0"/>
        <w:spacing w:line="440" w:lineRule="exact"/>
        <w:ind w:firstLine="482" w:firstLineChars="200"/>
        <w:rPr>
          <w:rFonts w:ascii="宋体" w:hAnsi="宋体" w:cs="宋体"/>
          <w:b/>
          <w:color w:val="auto"/>
          <w:kern w:val="0"/>
          <w:sz w:val="24"/>
        </w:rPr>
      </w:pPr>
      <w:r>
        <w:rPr>
          <w:rFonts w:hint="eastAsia" w:ascii="宋体" w:hAnsi="宋体" w:cs="宋体"/>
          <w:b/>
          <w:color w:val="auto"/>
          <w:kern w:val="0"/>
          <w:sz w:val="24"/>
        </w:rPr>
        <w:t>2、实施要求</w:t>
      </w:r>
    </w:p>
    <w:p w14:paraId="6F291CD8">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（1）所有设备必须是厂商原装、全新的产品，符合国家及该产品的出厂标准及相关认证规定的。</w:t>
      </w:r>
    </w:p>
    <w:p w14:paraId="61F02DC5">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（2）设备外观清洁，标记编号以及盘面显示等字体清晰，明确。</w:t>
      </w:r>
    </w:p>
    <w:p w14:paraId="31ACB0DD">
      <w:pPr>
        <w:snapToGrid w:val="0"/>
        <w:spacing w:line="440" w:lineRule="exact"/>
        <w:ind w:firstLine="480" w:firstLineChars="200"/>
        <w:rPr>
          <w:rFonts w:ascii="宋体" w:hAnsi="宋体" w:cs="宋体"/>
          <w:bCs/>
          <w:color w:val="auto"/>
          <w:kern w:val="0"/>
          <w:sz w:val="24"/>
        </w:rPr>
      </w:pPr>
      <w:r>
        <w:rPr>
          <w:rFonts w:hint="eastAsia" w:ascii="宋体" w:hAnsi="宋体" w:cs="宋体"/>
          <w:bCs/>
          <w:color w:val="auto"/>
          <w:kern w:val="0"/>
          <w:sz w:val="24"/>
        </w:rPr>
        <w:t>对于影响设备正常工作的必要组成部分，无论在技术规范中指出与否，报价人都应在报价文件中明确列出。</w:t>
      </w:r>
    </w:p>
    <w:p w14:paraId="63AEC992">
      <w:pPr>
        <w:snapToGrid w:val="0"/>
        <w:spacing w:line="44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（3）所有设备提供出厂合格证等质量证明文件。</w:t>
      </w:r>
    </w:p>
    <w:p w14:paraId="2C960D0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所投的产品必须是在中国范围内合法销售，原装、全新、并完全符合用户要求的产品。必须附产品原产地标签、合格证及其他相关的资料。货物完好，物品配件齐全。</w:t>
      </w:r>
    </w:p>
    <w:p w14:paraId="660478EC">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3、质量、服务要求</w:t>
      </w:r>
    </w:p>
    <w:p w14:paraId="0CA6FD46">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（1）报价人报价时所提供的设备如在实际供货时已经废型，则中标供应商必须用供货时该厂家的最新产品提供给用户单位，其性能指标不得低于所投设备，并且价格不变。</w:t>
      </w:r>
    </w:p>
    <w:p w14:paraId="7D71E931">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（2）所投设备质保期内免费上门服务。负责终身维修,保证有充足的部件和配件,超过保修期后,如需更换部件或配件时,将以不高于成本价为客户进行有偿收费服务。</w:t>
      </w:r>
    </w:p>
    <w:p w14:paraId="25DBB4A0">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4、其他要求</w:t>
      </w:r>
    </w:p>
    <w:p w14:paraId="13CEC2BE">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（1）中标人负责根据本项目内容各个不同的安装地点,将货物材料送到现场过程中的全部运输，包括装卸车、货物现场的搬运。</w:t>
      </w:r>
    </w:p>
    <w:p w14:paraId="4789B17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（2）各种设备，必须提供装箱清单，按装箱清单验收货物。</w:t>
      </w:r>
    </w:p>
    <w:p w14:paraId="3CC4CE40">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（3）货物在现场的保管由中标人负责，直至项目安装、验收完毕。</w:t>
      </w:r>
    </w:p>
    <w:p w14:paraId="724D15A9">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（4）货物在安装调试验收合格前的保险由中标人负责，中标人负责其派出的现场服务人员人身意外保险。</w:t>
      </w:r>
    </w:p>
    <w:p w14:paraId="7B3927CE">
      <w:pPr>
        <w:snapToGrid w:val="0"/>
        <w:spacing w:line="440" w:lineRule="exact"/>
        <w:ind w:firstLine="480"/>
        <w:rPr>
          <w:rFonts w:ascii="宋体" w:hAnsi="宋体" w:cs="宋体"/>
          <w:bCs/>
          <w:color w:val="auto"/>
          <w:kern w:val="0"/>
          <w:sz w:val="24"/>
        </w:rPr>
      </w:pPr>
      <w:r>
        <w:rPr>
          <w:rFonts w:hint="eastAsia" w:ascii="宋体" w:hAnsi="宋体" w:cs="宋体"/>
          <w:b/>
          <w:color w:val="auto"/>
          <w:kern w:val="0"/>
          <w:sz w:val="24"/>
        </w:rPr>
        <w:t>五、商务需求（合同主要条款）</w:t>
      </w:r>
    </w:p>
    <w:p w14:paraId="3F5EFDB7">
      <w:pPr>
        <w:snapToGrid w:val="0"/>
        <w:spacing w:line="440" w:lineRule="exact"/>
        <w:ind w:firstLine="480"/>
        <w:rPr>
          <w:rFonts w:hint="eastAsia" w:ascii="宋体" w:hAnsi="宋体" w:cs="宋体"/>
          <w:bCs/>
          <w:color w:val="auto"/>
          <w:kern w:val="0"/>
          <w:sz w:val="24"/>
        </w:rPr>
      </w:pPr>
      <w:r>
        <w:rPr>
          <w:rFonts w:hint="eastAsia" w:ascii="宋体" w:hAnsi="宋体" w:cs="宋体"/>
          <w:b/>
          <w:color w:val="auto"/>
          <w:kern w:val="0"/>
          <w:sz w:val="24"/>
        </w:rPr>
        <w:t>1、供货要求</w:t>
      </w:r>
    </w:p>
    <w:p w14:paraId="45DD2972">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时间：签订合同的</w:t>
      </w:r>
      <w:r>
        <w:rPr>
          <w:rFonts w:hint="eastAsia" w:ascii="宋体" w:hAnsi="宋体" w:eastAsia="宋体" w:cs="Times New Roman"/>
          <w:kern w:val="2"/>
          <w:sz w:val="24"/>
          <w:szCs w:val="24"/>
          <w:lang w:val="en-US" w:eastAsia="zh-CN" w:bidi="ar-SA"/>
        </w:rPr>
        <w:t>30天内安装调试完毕并交付使用</w:t>
      </w:r>
      <w:r>
        <w:rPr>
          <w:rFonts w:hint="eastAsia" w:ascii="宋体" w:hAnsi="宋体" w:cs="宋体"/>
          <w:bCs/>
          <w:color w:val="auto"/>
          <w:kern w:val="0"/>
          <w:sz w:val="24"/>
        </w:rPr>
        <w:t>。</w:t>
      </w:r>
    </w:p>
    <w:p w14:paraId="39365DE1">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地点：池州职业技术学院指定地点；</w:t>
      </w:r>
    </w:p>
    <w:p w14:paraId="0D6BDCB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包装要求:所有设备必须包装完好，涉及的所有仪器设备等必须原厂包装，不得拆封。</w:t>
      </w:r>
    </w:p>
    <w:p w14:paraId="4871E37C">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2、安装调试</w:t>
      </w:r>
    </w:p>
    <w:p w14:paraId="6589072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（1）中标人负责到用户指定的安装地点进行安装调试。</w:t>
      </w:r>
    </w:p>
    <w:p w14:paraId="3357DE75">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（2）中标人应设安装负责人，负责安装协调管理工作。</w:t>
      </w:r>
    </w:p>
    <w:p w14:paraId="03918B6C">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（3）安装所需工具设施物料由中标人自备、自费运到现场，完工后自费搬走。</w:t>
      </w:r>
    </w:p>
    <w:p w14:paraId="12038508">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（4）调试：按国家相关验收规范进行。</w:t>
      </w:r>
    </w:p>
    <w:p w14:paraId="6A70FF6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（5）仪器设备的拆箱、安装、通电、调试等项工作由中标人负责，但必须在采购人指定人员的参与下进行。调试的原始记录须经各方签字后作为验收的文件之一。</w:t>
      </w:r>
    </w:p>
    <w:p w14:paraId="01E87F3B">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3、检测验收</w:t>
      </w:r>
    </w:p>
    <w:p w14:paraId="6DE8E74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（1）投标人货物安装调试合格后，经过双方检验认可，签署验收报告，产品保修期自验收合格之日起算，由投标人提供产品保修文件。</w:t>
      </w:r>
    </w:p>
    <w:p w14:paraId="329A8D8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（2）当满足以下条件时，采购单位才向中标人签发货物验收报告：</w:t>
      </w:r>
    </w:p>
    <w:p w14:paraId="00EB4EBB">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1）中标人已按照合同规定提供了全部产品及完整的技术资料。</w:t>
      </w:r>
    </w:p>
    <w:p w14:paraId="340EF4A9">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2）货物符合招标文件技术规格书的要求，性能满足要求。</w:t>
      </w:r>
    </w:p>
    <w:p w14:paraId="7A2114D0">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3）货物具备产品合格证。</w:t>
      </w:r>
    </w:p>
    <w:p w14:paraId="1BA5B144">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4、培训</w:t>
      </w:r>
    </w:p>
    <w:p w14:paraId="3AB29B5D">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（1）中标单位负责派技术熟练人员为采购单位进行设备使用操作培训，使采购单位可熟练并自行使用相关设备与系统，为满足日常教学需求中标单位需提供不低于10次工程师上门教学服务。</w:t>
      </w:r>
    </w:p>
    <w:p w14:paraId="0779BF7D">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（2）投标人在投标文件中应提出详细的培训内容和培训计划。</w:t>
      </w:r>
    </w:p>
    <w:p w14:paraId="6FA45E4F">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（3）培训内容与计划应包括产品的安装、测试、操作、维护、软件系统培训（包括相关理论知识）。</w:t>
      </w:r>
    </w:p>
    <w:p w14:paraId="3EF22AE4">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5、售后服务</w:t>
      </w:r>
    </w:p>
    <w:p w14:paraId="06831497">
      <w:pPr>
        <w:snapToGrid w:val="0"/>
        <w:spacing w:line="440" w:lineRule="exact"/>
        <w:ind w:firstLine="480"/>
        <w:rPr>
          <w:rFonts w:ascii="宋体" w:hAnsi="宋体" w:cs="宋体"/>
          <w:b/>
          <w:color w:val="auto"/>
          <w:kern w:val="0"/>
          <w:sz w:val="24"/>
        </w:rPr>
      </w:pPr>
      <w:r>
        <w:rPr>
          <w:rFonts w:hint="eastAsia" w:ascii="宋体" w:hAnsi="宋体" w:cs="宋体"/>
          <w:b/>
          <w:color w:val="auto"/>
          <w:kern w:val="0"/>
          <w:sz w:val="24"/>
        </w:rPr>
        <w:t>（1）质保期</w:t>
      </w:r>
    </w:p>
    <w:p w14:paraId="36E50107">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以上产品必须全部为原装正版产品，投标人须对提供的所有仪器设备提供不少于1年的质保期及免费技术支持服务。由此产生的一切费用均由中标供应商承担。保修期间用户所购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14:paraId="5CDA9357">
      <w:pPr>
        <w:snapToGrid w:val="0"/>
        <w:spacing w:line="440" w:lineRule="exact"/>
        <w:ind w:firstLine="480"/>
        <w:rPr>
          <w:rFonts w:hint="eastAsia" w:ascii="宋体" w:hAnsi="宋体" w:cs="宋体"/>
          <w:b/>
          <w:color w:val="auto"/>
          <w:kern w:val="0"/>
          <w:sz w:val="24"/>
        </w:rPr>
      </w:pPr>
      <w:r>
        <w:rPr>
          <w:rFonts w:hint="eastAsia" w:ascii="宋体" w:hAnsi="宋体" w:cs="宋体"/>
          <w:b/>
          <w:color w:val="auto"/>
          <w:kern w:val="0"/>
          <w:sz w:val="24"/>
        </w:rPr>
        <w:t>（2）故障响应</w:t>
      </w:r>
    </w:p>
    <w:p w14:paraId="01F26CB8">
      <w:pPr>
        <w:snapToGrid w:val="0"/>
        <w:spacing w:line="440" w:lineRule="exact"/>
        <w:ind w:firstLine="480"/>
        <w:rPr>
          <w:rFonts w:ascii="宋体" w:hAnsi="宋体" w:cs="宋体"/>
          <w:bCs/>
          <w:color w:val="auto"/>
          <w:kern w:val="0"/>
          <w:sz w:val="24"/>
        </w:rPr>
      </w:pPr>
      <w:r>
        <w:rPr>
          <w:rFonts w:hint="eastAsia" w:ascii="宋体" w:hAnsi="宋体" w:cs="宋体"/>
          <w:bCs/>
          <w:color w:val="auto"/>
          <w:kern w:val="0"/>
          <w:sz w:val="24"/>
        </w:rPr>
        <w:t>对采购单位的服务通知，供应商在接报后2小时内响应，24小时内到达现场，48小时内处理完毕。若在48小时内仍未能有效解决，供应商须免费提供同档次的设备予采购单位临时使用。</w:t>
      </w:r>
    </w:p>
    <w:p w14:paraId="73D4D729">
      <w:pPr>
        <w:snapToGrid w:val="0"/>
        <w:spacing w:line="440" w:lineRule="exact"/>
        <w:ind w:firstLine="480"/>
        <w:rPr>
          <w:rFonts w:hint="eastAsia" w:ascii="宋体" w:hAnsi="宋体" w:cs="宋体"/>
          <w:b/>
          <w:color w:val="auto"/>
          <w:kern w:val="0"/>
          <w:sz w:val="24"/>
        </w:rPr>
      </w:pPr>
      <w:r>
        <w:rPr>
          <w:rFonts w:hint="eastAsia" w:ascii="宋体" w:hAnsi="宋体" w:cs="宋体"/>
          <w:b/>
          <w:color w:val="auto"/>
          <w:kern w:val="0"/>
          <w:sz w:val="24"/>
        </w:rPr>
        <w:t>6、付款方式</w:t>
      </w:r>
    </w:p>
    <w:p w14:paraId="023B8914">
      <w:pPr>
        <w:snapToGrid w:val="0"/>
        <w:spacing w:line="440" w:lineRule="exact"/>
        <w:ind w:firstLine="480"/>
        <w:rPr>
          <w:rFonts w:hint="eastAsia" w:ascii="宋体" w:hAnsi="宋体" w:cs="宋体"/>
          <w:bCs/>
          <w:color w:val="auto"/>
          <w:kern w:val="0"/>
          <w:sz w:val="24"/>
        </w:rPr>
      </w:pPr>
      <w:r>
        <w:rPr>
          <w:rFonts w:hint="eastAsia" w:ascii="宋体" w:hAnsi="宋体" w:cs="宋体"/>
          <w:bCs/>
          <w:color w:val="auto"/>
          <w:kern w:val="0"/>
          <w:sz w:val="24"/>
        </w:rPr>
        <w:t>货物供货完毕，且验收合格后，一次性付清。</w:t>
      </w:r>
    </w:p>
    <w:p w14:paraId="4BECE1CA">
      <w:pPr>
        <w:snapToGrid w:val="0"/>
        <w:spacing w:line="440" w:lineRule="exact"/>
        <w:ind w:left="360"/>
        <w:rPr>
          <w:color w:val="auto"/>
        </w:rPr>
      </w:pPr>
      <w:r>
        <w:rPr>
          <w:rFonts w:hint="eastAsia" w:ascii="宋体" w:hAnsi="宋体" w:cs="宋体"/>
          <w:b/>
          <w:color w:val="auto"/>
          <w:kern w:val="0"/>
          <w:sz w:val="24"/>
        </w:rPr>
        <w:t>六</w:t>
      </w:r>
      <w:r>
        <w:rPr>
          <w:rFonts w:ascii="宋体" w:hAnsi="宋体" w:cs="宋体"/>
          <w:b/>
          <w:color w:val="auto"/>
          <w:kern w:val="0"/>
          <w:sz w:val="24"/>
        </w:rPr>
        <w:t>、</w:t>
      </w:r>
      <w:r>
        <w:rPr>
          <w:rFonts w:hint="eastAsia" w:ascii="宋体" w:hAnsi="宋体" w:cs="宋体"/>
          <w:b/>
          <w:color w:val="auto"/>
          <w:kern w:val="0"/>
          <w:sz w:val="24"/>
        </w:rPr>
        <w:t>评标办法</w:t>
      </w:r>
    </w:p>
    <w:p w14:paraId="23FF218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pPr>
      <w:r>
        <w:rPr>
          <w:rFonts w:hint="eastAsia" w:ascii="宋体" w:hAnsi="宋体" w:cs="宋体"/>
          <w:bCs/>
          <w:color w:val="auto"/>
          <w:kern w:val="0"/>
          <w:sz w:val="24"/>
          <w:lang w:val="en-US" w:eastAsia="zh-CN"/>
        </w:rPr>
        <w:t>采购方式采取询价采购。在满足需求书要求的前提下，报价最低的供应商为中标人，如满足需求书要求的前提下报价相同则采用抽签的方式确定中标人。</w:t>
      </w:r>
    </w:p>
    <w:sectPr>
      <w:footerReference r:id="rId3" w:type="default"/>
      <w:footerReference r:id="rId4" w:type="even"/>
      <w:pgSz w:w="11906" w:h="16838"/>
      <w:pgMar w:top="1701" w:right="1588"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A9D90">
    <w:pPr>
      <w:pStyle w:val="4"/>
      <w:ind w:right="315" w:rightChars="150"/>
      <w:jc w:val="center"/>
      <w:rPr>
        <w:rFonts w:hint="eastAsia"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BFF7">
    <w:pPr>
      <w:pStyle w:val="4"/>
      <w:ind w:firstLine="360" w:firstLineChars="150"/>
      <w:jc w:val="center"/>
      <w:rPr>
        <w:rFonts w:hint="eastAsia"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2</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ZlYmJiNTJmMTkxMjhhZTJkNGY0NjY1OTE4NTEifQ=="/>
  </w:docVars>
  <w:rsids>
    <w:rsidRoot w:val="6C9649D2"/>
    <w:rsid w:val="025F0B06"/>
    <w:rsid w:val="0E956D7D"/>
    <w:rsid w:val="101C1B54"/>
    <w:rsid w:val="21A6795C"/>
    <w:rsid w:val="25DC3CA4"/>
    <w:rsid w:val="2CE22857"/>
    <w:rsid w:val="3B6B5A08"/>
    <w:rsid w:val="41F23B34"/>
    <w:rsid w:val="485A47E2"/>
    <w:rsid w:val="48B545A9"/>
    <w:rsid w:val="4CEA0444"/>
    <w:rsid w:val="6C9649D2"/>
    <w:rsid w:val="7C217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240" w:lineRule="auto"/>
      <w:jc w:val="center"/>
      <w:outlineLvl w:val="0"/>
    </w:pPr>
    <w:rPr>
      <w:rFonts w:asciiTheme="minorAscii" w:hAnsiTheme="minorAscii" w:eastAsiaTheme="minorEastAsia" w:cstheme="minorBidi"/>
      <w:b/>
      <w:kern w:val="44"/>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font11"/>
    <w:basedOn w:val="6"/>
    <w:qFormat/>
    <w:uiPriority w:val="0"/>
    <w:rPr>
      <w:rFonts w:hint="default" w:ascii="Times New Roman" w:hAnsi="Times New Roman" w:cs="Times New Roman"/>
      <w:color w:val="000000"/>
      <w:sz w:val="20"/>
      <w:szCs w:val="20"/>
      <w:u w:val="none"/>
    </w:rPr>
  </w:style>
  <w:style w:type="character" w:customStyle="1" w:styleId="9">
    <w:name w:val="font61"/>
    <w:basedOn w:val="6"/>
    <w:qFormat/>
    <w:uiPriority w:val="0"/>
    <w:rPr>
      <w:rFonts w:hint="default" w:ascii="Times New Roman" w:hAnsi="Times New Roman" w:cs="Times New Roman"/>
      <w:color w:val="000000"/>
      <w:sz w:val="20"/>
      <w:szCs w:val="20"/>
      <w:u w:val="none"/>
    </w:rPr>
  </w:style>
  <w:style w:type="character" w:customStyle="1" w:styleId="10">
    <w:name w:val="font71"/>
    <w:basedOn w:val="6"/>
    <w:qFormat/>
    <w:uiPriority w:val="0"/>
    <w:rPr>
      <w:rFonts w:hint="default" w:ascii="Times New Roman" w:hAnsi="Times New Roman" w:cs="Times New Roman"/>
      <w:color w:val="000000"/>
      <w:sz w:val="21"/>
      <w:szCs w:val="21"/>
      <w:u w:val="none"/>
    </w:rPr>
  </w:style>
  <w:style w:type="character" w:customStyle="1" w:styleId="11">
    <w:name w:val="font51"/>
    <w:basedOn w:val="6"/>
    <w:qFormat/>
    <w:uiPriority w:val="0"/>
    <w:rPr>
      <w:rFonts w:hint="eastAsia" w:ascii="宋体" w:hAnsi="宋体" w:eastAsia="宋体" w:cs="宋体"/>
      <w:color w:val="000000"/>
      <w:sz w:val="21"/>
      <w:szCs w:val="21"/>
      <w:u w:val="none"/>
    </w:rPr>
  </w:style>
  <w:style w:type="character" w:customStyle="1" w:styleId="12">
    <w:name w:val="font81"/>
    <w:basedOn w:val="6"/>
    <w:qFormat/>
    <w:uiPriority w:val="0"/>
    <w:rPr>
      <w:rFonts w:hint="default" w:ascii="Times New Roman" w:hAnsi="Times New Roman" w:cs="Times New Roman"/>
      <w:color w:val="000000"/>
      <w:sz w:val="24"/>
      <w:szCs w:val="24"/>
      <w:u w:val="none"/>
    </w:rPr>
  </w:style>
  <w:style w:type="character" w:customStyle="1" w:styleId="13">
    <w:name w:val="font41"/>
    <w:basedOn w:val="6"/>
    <w:qFormat/>
    <w:uiPriority w:val="0"/>
    <w:rPr>
      <w:rFonts w:hint="default" w:ascii="Times New Roman" w:hAnsi="Times New Roman" w:cs="Times New Roman"/>
      <w:color w:val="000000"/>
      <w:sz w:val="20"/>
      <w:szCs w:val="20"/>
      <w:u w:val="none"/>
    </w:rPr>
  </w:style>
  <w:style w:type="character" w:customStyle="1" w:styleId="14">
    <w:name w:val="font21"/>
    <w:basedOn w:val="6"/>
    <w:qFormat/>
    <w:uiPriority w:val="0"/>
    <w:rPr>
      <w:rFonts w:hint="eastAsia" w:ascii="宋体" w:hAnsi="宋体" w:eastAsia="宋体" w:cs="宋体"/>
      <w:color w:val="000000"/>
      <w:sz w:val="20"/>
      <w:szCs w:val="20"/>
      <w:u w:val="non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7413</Words>
  <Characters>8303</Characters>
  <Lines>0</Lines>
  <Paragraphs>0</Paragraphs>
  <TotalTime>7</TotalTime>
  <ScaleCrop>false</ScaleCrop>
  <LinksUpToDate>false</LinksUpToDate>
  <CharactersWithSpaces>8384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2022-10-08T02:20:00Z</dcterms:created>
  <dc:creator>小武</dc:creator>
  <cp:lastModifiedBy>8447924</cp:lastModifiedBy>
  <dcterms:modified xsi:type="dcterms:W3CDTF">2024-11-18T06:44:54Z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812B4E3FFD164C94B230C4B9A7168778_13</vt:lpwstr>
  </property>
</Properties>
</file>