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C7D5">
      <w:pPr>
        <w:jc w:val="center"/>
        <w:rPr>
          <w:rFonts w:hint="default" w:ascii="Times New Roman" w:hAnsi="Times New Roman" w:eastAsia="方正小标宋简体" w:cs="Times New Roman"/>
          <w:b w:val="0"/>
          <w:bCs/>
          <w:sz w:val="44"/>
          <w:szCs w:val="28"/>
        </w:rPr>
      </w:pPr>
      <w:r>
        <w:rPr>
          <w:rFonts w:hint="default" w:ascii="Times New Roman" w:hAnsi="Times New Roman" w:eastAsia="方正小标宋简体" w:cs="Times New Roman"/>
          <w:b w:val="0"/>
          <w:bCs/>
          <w:sz w:val="44"/>
          <w:szCs w:val="28"/>
        </w:rPr>
        <w:t>生物与健康系</w:t>
      </w:r>
      <w:r>
        <w:rPr>
          <w:rFonts w:hint="default" w:ascii="Times New Roman" w:hAnsi="Times New Roman" w:eastAsia="方正小标宋简体" w:cs="Times New Roman"/>
          <w:b w:val="0"/>
          <w:bCs/>
          <w:sz w:val="44"/>
          <w:szCs w:val="28"/>
          <w:lang w:val="en-US" w:eastAsia="zh-CN"/>
        </w:rPr>
        <w:t>2025级</w:t>
      </w:r>
      <w:r>
        <w:rPr>
          <w:rFonts w:hint="default" w:ascii="Times New Roman" w:hAnsi="Times New Roman" w:eastAsia="方正小标宋简体" w:cs="Times New Roman"/>
          <w:b w:val="0"/>
          <w:bCs/>
          <w:sz w:val="44"/>
          <w:szCs w:val="28"/>
        </w:rPr>
        <w:t>转专业考核方案</w:t>
      </w:r>
    </w:p>
    <w:p w14:paraId="04357EEC">
      <w:pPr>
        <w:jc w:val="center"/>
        <w:rPr>
          <w:rFonts w:hint="default" w:ascii="Times New Roman" w:hAnsi="Times New Roman" w:eastAsia="方正小标宋简体" w:cs="Times New Roman"/>
          <w:b w:val="0"/>
          <w:bCs/>
          <w:sz w:val="44"/>
          <w:szCs w:val="28"/>
        </w:rPr>
      </w:pPr>
    </w:p>
    <w:p w14:paraId="7A801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根据池职院学〔2025〕73号关于印发《关于2025级学生转专业的通知》《池州职业技术学院转专业管理办法》</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文件精神，生物与健康系秉持公开、公平、公正的原则，加强对2025级学生转专业工作的组织与管理，现将考核方案公布如下：</w:t>
      </w:r>
    </w:p>
    <w:p w14:paraId="65DCD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一、资格审查</w:t>
      </w:r>
    </w:p>
    <w:p w14:paraId="12FFE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转入要求：符合学院文件规定</w:t>
      </w:r>
    </w:p>
    <w:p w14:paraId="13DE4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二、考核内容与形式</w:t>
      </w:r>
    </w:p>
    <w:p w14:paraId="087C7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考核内容：</w:t>
      </w:r>
      <w:r>
        <w:rPr>
          <w:rFonts w:hint="default" w:ascii="Times New Roman" w:hAnsi="Times New Roman" w:eastAsia="仿宋_GB2312" w:cs="Times New Roman"/>
          <w:sz w:val="32"/>
          <w:szCs w:val="32"/>
          <w:lang w:val="en-US" w:eastAsia="zh-CN"/>
        </w:rPr>
        <w:t>根据各专业群（教研室）具体考核要求</w:t>
      </w:r>
    </w:p>
    <w:p w14:paraId="12487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三、动物医养技术专业群</w:t>
      </w:r>
      <w:r>
        <w:rPr>
          <w:rFonts w:hint="default" w:ascii="Times New Roman" w:hAnsi="Times New Roman" w:eastAsia="黑体" w:cs="Times New Roman"/>
          <w:sz w:val="32"/>
          <w:szCs w:val="32"/>
        </w:rPr>
        <w:t>考核</w:t>
      </w:r>
      <w:r>
        <w:rPr>
          <w:rFonts w:hint="default" w:ascii="Times New Roman" w:hAnsi="Times New Roman" w:eastAsia="黑体" w:cs="Times New Roman"/>
          <w:sz w:val="32"/>
          <w:szCs w:val="32"/>
          <w:lang w:val="en-US" w:eastAsia="zh-CN"/>
        </w:rPr>
        <w:t>要求</w:t>
      </w:r>
    </w:p>
    <w:p w14:paraId="5DDD8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动物医养技术专业群</w:t>
      </w:r>
      <w:r>
        <w:rPr>
          <w:rFonts w:hint="eastAsia" w:ascii="Times New Roman" w:hAnsi="Times New Roman" w:eastAsia="仿宋_GB2312" w:cs="Times New Roman"/>
          <w:sz w:val="32"/>
          <w:szCs w:val="32"/>
          <w:lang w:val="en-US" w:eastAsia="zh-CN"/>
        </w:rPr>
        <w:t>（包含</w:t>
      </w:r>
      <w:r>
        <w:rPr>
          <w:rFonts w:hint="default" w:ascii="Times New Roman" w:hAnsi="Times New Roman" w:eastAsia="仿宋_GB2312" w:cs="Times New Roman"/>
          <w:sz w:val="32"/>
          <w:szCs w:val="32"/>
          <w:lang w:val="en-US" w:eastAsia="zh-CN"/>
        </w:rPr>
        <w:t>宠物医疗技术</w:t>
      </w:r>
      <w:r>
        <w:rPr>
          <w:rFonts w:hint="eastAsia" w:ascii="Times New Roman" w:hAnsi="Times New Roman" w:eastAsia="仿宋_GB2312" w:cs="Times New Roman"/>
          <w:sz w:val="32"/>
          <w:szCs w:val="32"/>
          <w:lang w:val="en-US" w:eastAsia="zh-CN"/>
        </w:rPr>
        <w:t>、动物医学两个专业），</w:t>
      </w:r>
      <w:r>
        <w:rPr>
          <w:rFonts w:hint="default" w:ascii="Times New Roman" w:hAnsi="Times New Roman" w:eastAsia="仿宋_GB2312" w:cs="Times New Roman"/>
          <w:sz w:val="32"/>
          <w:szCs w:val="32"/>
          <w:lang w:val="en-US" w:eastAsia="zh-CN"/>
        </w:rPr>
        <w:t>转专业由笔试+面试两个部分组成，总分200分。具体转专业要求如下：</w:t>
      </w:r>
    </w:p>
    <w:p w14:paraId="4D511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（一）笔试（100分）</w:t>
      </w:r>
    </w:p>
    <w:p w14:paraId="667EA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1.笔试内容：中学生物知识</w:t>
      </w:r>
    </w:p>
    <w:p w14:paraId="66797FC4">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2.笔试要求：闭卷考试</w:t>
      </w:r>
    </w:p>
    <w:p w14:paraId="13B94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面试</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100分</w:t>
      </w:r>
      <w:r>
        <w:rPr>
          <w:rFonts w:hint="default" w:ascii="Times New Roman" w:hAnsi="Times New Roman" w:eastAsia="楷体" w:cs="Times New Roman"/>
          <w:sz w:val="32"/>
          <w:szCs w:val="32"/>
          <w:lang w:eastAsia="zh-CN"/>
        </w:rPr>
        <w:t>）</w:t>
      </w:r>
      <w:r>
        <w:rPr>
          <w:rFonts w:hint="eastAsia" w:ascii="Times New Roman" w:hAnsi="Times New Roman" w:eastAsia="仿宋_GB2312" w:cs="Times New Roman"/>
          <w:sz w:val="32"/>
          <w:szCs w:val="32"/>
          <w:lang w:val="en-US" w:eastAsia="zh-CN"/>
        </w:rPr>
        <w:t>（按照可接纳人数笔试排名3:1比例进入面试环节）</w:t>
      </w:r>
    </w:p>
    <w:p w14:paraId="1D37C5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个人陈述</w:t>
      </w:r>
    </w:p>
    <w:p w14:paraId="7D530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时间：5分钟内</w:t>
      </w:r>
    </w:p>
    <w:p w14:paraId="70F46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陈述内容：个人及家庭情况、学业基本情况、获奖情况、</w:t>
      </w:r>
      <w:r>
        <w:rPr>
          <w:rFonts w:hint="default" w:ascii="Times New Roman" w:hAnsi="Times New Roman" w:eastAsia="仿宋_GB2312" w:cs="Times New Roman"/>
          <w:spacing w:val="-11"/>
          <w:sz w:val="32"/>
          <w:szCs w:val="32"/>
        </w:rPr>
        <w:t>申请转专业的理由、对所申请专业的理解、今后的学业设想等。</w:t>
      </w:r>
    </w:p>
    <w:p w14:paraId="5518CC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回答问题</w:t>
      </w:r>
    </w:p>
    <w:p w14:paraId="5DAF9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时间：5分钟内</w:t>
      </w:r>
    </w:p>
    <w:p w14:paraId="74EA0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方式：由专业考核专家组成员现场随机抽题提问，学生现场作答。</w:t>
      </w:r>
    </w:p>
    <w:p w14:paraId="7025E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目的：考核面试学生对申请专业的认知、学生的创新思维、完成学业的能力、将来从事本专业的意愿和志向、思想政治表现等内容。</w:t>
      </w:r>
    </w:p>
    <w:p w14:paraId="0F6754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面试评分</w:t>
      </w:r>
    </w:p>
    <w:p w14:paraId="332E0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专业考核专家组成员根据参加面试学生个人陈述、回答问题的情况，按照量化打分的具体标准进行打分，取平均分。</w:t>
      </w:r>
    </w:p>
    <w:p w14:paraId="7DE48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（三）转入</w:t>
      </w:r>
      <w:r>
        <w:rPr>
          <w:rFonts w:hint="eastAsia" w:ascii="Times New Roman" w:hAnsi="Times New Roman" w:eastAsia="楷体" w:cs="Times New Roman"/>
          <w:sz w:val="32"/>
          <w:szCs w:val="32"/>
          <w:lang w:val="en-US" w:eastAsia="zh-CN"/>
        </w:rPr>
        <w:t>原则</w:t>
      </w:r>
    </w:p>
    <w:p w14:paraId="31C32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总分200分，在</w:t>
      </w:r>
      <w:r>
        <w:rPr>
          <w:rFonts w:hint="default" w:ascii="Times New Roman" w:hAnsi="Times New Roman" w:eastAsia="仿宋_GB2312" w:cs="Times New Roman"/>
          <w:sz w:val="32"/>
          <w:szCs w:val="32"/>
        </w:rPr>
        <w:t>符合转入要求</w:t>
      </w:r>
      <w:r>
        <w:rPr>
          <w:rFonts w:hint="default" w:ascii="Times New Roman" w:hAnsi="Times New Roman" w:eastAsia="仿宋_GB2312" w:cs="Times New Roman"/>
          <w:sz w:val="32"/>
          <w:szCs w:val="32"/>
          <w:lang w:val="en-US" w:eastAsia="zh-CN"/>
        </w:rPr>
        <w:t>且必须同时满足以下两个条件的前提下</w:t>
      </w:r>
      <w:r>
        <w:rPr>
          <w:rFonts w:hint="default" w:ascii="Times New Roman" w:hAnsi="Times New Roman" w:eastAsia="仿宋_GB2312" w:cs="Times New Roman"/>
          <w:sz w:val="32"/>
          <w:szCs w:val="32"/>
        </w:rPr>
        <w:t>从高分到低分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宠物医疗技术专业</w:t>
      </w:r>
      <w:r>
        <w:rPr>
          <w:rFonts w:hint="default" w:ascii="Times New Roman" w:hAnsi="Times New Roman" w:eastAsia="仿宋_GB2312" w:cs="Times New Roman"/>
          <w:sz w:val="32"/>
          <w:szCs w:val="32"/>
        </w:rPr>
        <w:t>择优转入</w:t>
      </w:r>
      <w:r>
        <w:rPr>
          <w:rFonts w:hint="default" w:ascii="Times New Roman" w:hAnsi="Times New Roman" w:eastAsia="仿宋_GB2312" w:cs="Times New Roman"/>
          <w:sz w:val="32"/>
          <w:szCs w:val="32"/>
          <w:lang w:val="en-US" w:eastAsia="zh-CN"/>
        </w:rPr>
        <w:t>成绩排名前</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名同学。</w:t>
      </w:r>
    </w:p>
    <w:p w14:paraId="526D7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笔试成绩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70分以上；</w:t>
      </w:r>
    </w:p>
    <w:p w14:paraId="4D26A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面试成绩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80分以上。</w:t>
      </w:r>
    </w:p>
    <w:p w14:paraId="07B90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四、健康服务专业群</w:t>
      </w:r>
      <w:r>
        <w:rPr>
          <w:rFonts w:hint="default" w:ascii="Times New Roman" w:hAnsi="Times New Roman" w:eastAsia="黑体" w:cs="Times New Roman"/>
          <w:sz w:val="32"/>
          <w:szCs w:val="32"/>
        </w:rPr>
        <w:t>考核</w:t>
      </w:r>
      <w:r>
        <w:rPr>
          <w:rFonts w:hint="default" w:ascii="Times New Roman" w:hAnsi="Times New Roman" w:eastAsia="黑体" w:cs="Times New Roman"/>
          <w:sz w:val="32"/>
          <w:szCs w:val="32"/>
          <w:lang w:val="en-US" w:eastAsia="zh-CN"/>
        </w:rPr>
        <w:t>要求</w:t>
      </w:r>
    </w:p>
    <w:p w14:paraId="328D8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健康服务专业群（包含护理、中医养生保健、老年保健与管理三个专业），转专业考核由笔试+面试两个部分组成，总分200分。具体转专业要求如下：</w:t>
      </w:r>
    </w:p>
    <w:p w14:paraId="1F29A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（一）笔试（100分）</w:t>
      </w:r>
    </w:p>
    <w:p w14:paraId="46E43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1.笔试内容：生活中接触到的卫生保健知识</w:t>
      </w:r>
    </w:p>
    <w:p w14:paraId="6F04F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2.笔试要求：闭卷考试</w:t>
      </w:r>
    </w:p>
    <w:p w14:paraId="4F8B4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（二）面试（100分）</w:t>
      </w:r>
      <w:r>
        <w:rPr>
          <w:rFonts w:hint="eastAsia" w:ascii="Times New Roman" w:hAnsi="Times New Roman" w:eastAsia="仿宋_GB2312" w:cs="Times New Roman"/>
          <w:sz w:val="32"/>
          <w:szCs w:val="32"/>
          <w:lang w:val="en-US" w:eastAsia="zh-CN"/>
        </w:rPr>
        <w:t>（按照可接纳人数笔试排名3:1比例进入面试环节）</w:t>
      </w:r>
    </w:p>
    <w:p w14:paraId="72AC2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lang w:val="en-US" w:eastAsia="zh-CN"/>
        </w:rPr>
        <w:t>包括自我简介和回答专家组随机抽取的问题，主要考核面试学生的口语表达能力、沟通能力，对申请专业的认知、学生的创新思维、完成学业的能力、将来从事本专业的意愿和志向、思想政治表现等内容。</w:t>
      </w:r>
    </w:p>
    <w:p w14:paraId="6BB60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面试专家组成员根据参加面试学生个人陈述、回答问题的情况，按照量化打分的具体标准进行打分，取平均分。</w:t>
      </w:r>
    </w:p>
    <w:p w14:paraId="4CF75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（三）转入原则</w:t>
      </w:r>
    </w:p>
    <w:p w14:paraId="58533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总分200分，在符合转入要求且必须同时满足以下两个条件的前提下从高分到低分择优转入（护理专业取前10名，中医养生保健专业取前5名，老年保健与管理专业取前5名）。</w:t>
      </w:r>
    </w:p>
    <w:p w14:paraId="7016C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70分以上；</w:t>
      </w:r>
    </w:p>
    <w:p w14:paraId="0D865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2.面试成绩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80分以上。</w:t>
      </w:r>
    </w:p>
    <w:p w14:paraId="70AF0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备注：健康服务专业群涉及的专业，专业性强，学习难度大，建议中职有相关专业学习经历的学生转入。</w:t>
      </w:r>
    </w:p>
    <w:p w14:paraId="249D2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五、应用化工技术教研室考核要求</w:t>
      </w:r>
    </w:p>
    <w:p w14:paraId="3E5C3B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应用化工技术教研室包含应用化工技术专业，转专业考核由笔试+面试两个部分组成，总分200分。具体转专业要求如下：</w:t>
      </w:r>
    </w:p>
    <w:p w14:paraId="00768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（一）笔试（100分）</w:t>
      </w:r>
    </w:p>
    <w:p w14:paraId="7232D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1.笔试内容：中学化学知识</w:t>
      </w:r>
    </w:p>
    <w:p w14:paraId="59A9B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2.笔试要求：闭卷考试</w:t>
      </w:r>
    </w:p>
    <w:p w14:paraId="60F36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（二）面试（100分）</w:t>
      </w:r>
      <w:r>
        <w:rPr>
          <w:rFonts w:hint="eastAsia" w:ascii="Times New Roman" w:hAnsi="Times New Roman" w:eastAsia="仿宋_GB2312" w:cs="Times New Roman"/>
          <w:sz w:val="32"/>
          <w:szCs w:val="32"/>
          <w:lang w:val="en-US" w:eastAsia="zh-CN"/>
        </w:rPr>
        <w:t>（按照可接纳人数笔试排名3:1比例进入面试环节）</w:t>
      </w:r>
    </w:p>
    <w:p w14:paraId="2B895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lang w:val="en-US" w:eastAsia="zh-CN"/>
        </w:rPr>
        <w:t>考核口语表达能力、沟通能力及专业认知能力。专业考核专家组成员根据参加面试学生个人陈述、 回答问题的情况，按照量化打分表具体标准进行打分，取平均分。</w:t>
      </w:r>
    </w:p>
    <w:p w14:paraId="4AC64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转入原则</w:t>
      </w:r>
    </w:p>
    <w:p w14:paraId="4F592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总分200分，择优转入成绩排名前15名同学</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val="en-US" w:eastAsia="zh-CN"/>
        </w:rPr>
        <w:t>面试成绩</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80分以上。</w:t>
      </w:r>
    </w:p>
    <w:p w14:paraId="053CB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六、转入相关要求及办法一览表</w:t>
      </w:r>
    </w:p>
    <w:tbl>
      <w:tblPr>
        <w:tblStyle w:val="7"/>
        <w:tblW w:w="8822"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933"/>
        <w:gridCol w:w="4515"/>
        <w:gridCol w:w="2218"/>
      </w:tblGrid>
      <w:tr w14:paraId="4778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156" w:type="dxa"/>
            <w:vAlign w:val="center"/>
          </w:tcPr>
          <w:p w14:paraId="247D5402">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专业</w:t>
            </w:r>
          </w:p>
        </w:tc>
        <w:tc>
          <w:tcPr>
            <w:tcW w:w="933" w:type="dxa"/>
            <w:vAlign w:val="center"/>
          </w:tcPr>
          <w:p w14:paraId="46940ADA">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可接</w:t>
            </w:r>
          </w:p>
          <w:p w14:paraId="15417B4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纳人数</w:t>
            </w:r>
          </w:p>
        </w:tc>
        <w:tc>
          <w:tcPr>
            <w:tcW w:w="4515" w:type="dxa"/>
            <w:tcBorders>
              <w:bottom w:val="single" w:color="auto" w:sz="4" w:space="0"/>
            </w:tcBorders>
            <w:vAlign w:val="center"/>
          </w:tcPr>
          <w:p w14:paraId="13988E4F">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转入要求</w:t>
            </w:r>
          </w:p>
        </w:tc>
        <w:tc>
          <w:tcPr>
            <w:tcW w:w="2218" w:type="dxa"/>
            <w:tcBorders>
              <w:bottom w:val="single" w:color="auto" w:sz="4" w:space="0"/>
            </w:tcBorders>
            <w:vAlign w:val="center"/>
          </w:tcPr>
          <w:p w14:paraId="045E2357">
            <w:pPr>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黑体" w:hAnsi="黑体" w:eastAsia="黑体" w:cs="黑体"/>
                <w:sz w:val="28"/>
                <w:szCs w:val="28"/>
              </w:rPr>
            </w:pPr>
            <w:r>
              <w:rPr>
                <w:rFonts w:hint="eastAsia" w:ascii="黑体" w:hAnsi="黑体" w:eastAsia="黑体" w:cs="黑体"/>
                <w:sz w:val="28"/>
                <w:szCs w:val="28"/>
              </w:rPr>
              <w:t>考核办法</w:t>
            </w:r>
          </w:p>
        </w:tc>
      </w:tr>
      <w:tr w14:paraId="3E1B0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9" w:hRule="atLeast"/>
        </w:trPr>
        <w:tc>
          <w:tcPr>
            <w:tcW w:w="1156" w:type="dxa"/>
            <w:vAlign w:val="center"/>
          </w:tcPr>
          <w:p w14:paraId="24A21E7D">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宠物医疗</w:t>
            </w:r>
            <w:r>
              <w:rPr>
                <w:rFonts w:hint="default" w:ascii="Times New Roman" w:hAnsi="Times New Roman" w:eastAsia="仿宋_GB2312" w:cs="Times New Roman"/>
                <w:spacing w:val="-6"/>
                <w:sz w:val="28"/>
                <w:szCs w:val="28"/>
              </w:rPr>
              <w:t>技术</w:t>
            </w:r>
          </w:p>
        </w:tc>
        <w:tc>
          <w:tcPr>
            <w:tcW w:w="933" w:type="dxa"/>
            <w:tcBorders>
              <w:right w:val="single" w:color="auto" w:sz="4" w:space="0"/>
            </w:tcBorders>
            <w:vAlign w:val="center"/>
          </w:tcPr>
          <w:p w14:paraId="46886D52">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18</w:t>
            </w:r>
          </w:p>
        </w:tc>
        <w:tc>
          <w:tcPr>
            <w:tcW w:w="4515" w:type="dxa"/>
            <w:vMerge w:val="restart"/>
            <w:tcBorders>
              <w:top w:val="single" w:color="auto" w:sz="4" w:space="0"/>
              <w:left w:val="single" w:color="auto" w:sz="4" w:space="0"/>
              <w:right w:val="single" w:color="auto" w:sz="4" w:space="0"/>
            </w:tcBorders>
            <w:vAlign w:val="center"/>
          </w:tcPr>
          <w:p w14:paraId="29C5411A">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符合学院规定</w:t>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4"/>
                <w:sz w:val="28"/>
                <w:szCs w:val="28"/>
              </w:rPr>
              <w:br w:type="textWrapping"/>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
                <w:sz w:val="28"/>
                <w:szCs w:val="28"/>
              </w:rPr>
              <w:t>1）身体健康，举止端庄</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2）具有良好职业道德和</w:t>
            </w:r>
            <w:r>
              <w:rPr>
                <w:rFonts w:hint="default" w:ascii="Times New Roman" w:hAnsi="Times New Roman" w:eastAsia="仿宋_GB2312" w:cs="Times New Roman"/>
                <w:spacing w:val="-9"/>
                <w:sz w:val="28"/>
                <w:szCs w:val="28"/>
              </w:rPr>
              <w:t>人文素养，乐于奉献，品德高尚</w:t>
            </w:r>
            <w:r>
              <w:rPr>
                <w:rFonts w:hint="default" w:ascii="Times New Roman" w:hAnsi="Times New Roman" w:eastAsia="仿宋_GB2312" w:cs="Times New Roman"/>
                <w:spacing w:val="-60"/>
                <w:w w:val="93"/>
                <w:sz w:val="28"/>
                <w:szCs w:val="28"/>
              </w:rPr>
              <w:t>；</w:t>
            </w:r>
            <w:r>
              <w:rPr>
                <w:rFonts w:hint="default" w:ascii="Times New Roman" w:hAnsi="Times New Roman" w:eastAsia="仿宋_GB2312" w:cs="Times New Roman"/>
                <w:spacing w:val="-60"/>
                <w:w w:val="93"/>
                <w:sz w:val="28"/>
                <w:szCs w:val="28"/>
              </w:rPr>
              <w:br w:type="textWrapping"/>
            </w:r>
            <w:r>
              <w:rPr>
                <w:rFonts w:hint="default" w:ascii="Times New Roman" w:hAnsi="Times New Roman" w:eastAsia="仿宋_GB2312" w:cs="Times New Roman"/>
                <w:spacing w:val="-13"/>
                <w:sz w:val="28"/>
                <w:szCs w:val="28"/>
              </w:rPr>
              <w:t>（3）</w:t>
            </w:r>
            <w:r>
              <w:rPr>
                <w:rFonts w:hint="default" w:ascii="Times New Roman" w:hAnsi="Times New Roman" w:eastAsia="仿宋_GB2312" w:cs="Times New Roman"/>
                <w:spacing w:val="1"/>
                <w:sz w:val="28"/>
                <w:szCs w:val="28"/>
              </w:rPr>
              <w:t>学习态度端正，吃苦耐劳</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4）热</w:t>
            </w:r>
            <w:r>
              <w:rPr>
                <w:rFonts w:hint="default" w:ascii="Times New Roman" w:hAnsi="Times New Roman" w:eastAsia="仿宋_GB2312" w:cs="Times New Roman"/>
                <w:spacing w:val="-3"/>
                <w:sz w:val="28"/>
                <w:szCs w:val="28"/>
              </w:rPr>
              <w:t>爱小动物。</w:t>
            </w:r>
          </w:p>
        </w:tc>
        <w:tc>
          <w:tcPr>
            <w:tcW w:w="2218" w:type="dxa"/>
            <w:vMerge w:val="restart"/>
            <w:tcBorders>
              <w:top w:val="single" w:color="auto" w:sz="4" w:space="0"/>
              <w:left w:val="single" w:color="auto" w:sz="4" w:space="0"/>
              <w:right w:val="single" w:color="auto" w:sz="4" w:space="0"/>
            </w:tcBorders>
            <w:vAlign w:val="center"/>
          </w:tcPr>
          <w:p w14:paraId="3017795C">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5"/>
                <w:sz w:val="28"/>
                <w:szCs w:val="28"/>
              </w:rPr>
              <w:t>笔试+</w:t>
            </w:r>
            <w:r>
              <w:rPr>
                <w:rFonts w:hint="default" w:ascii="Times New Roman" w:hAnsi="Times New Roman" w:eastAsia="仿宋_GB2312" w:cs="Times New Roman"/>
                <w:spacing w:val="-2"/>
                <w:sz w:val="28"/>
                <w:szCs w:val="28"/>
              </w:rPr>
              <w:t>面试</w:t>
            </w:r>
          </w:p>
          <w:p w14:paraId="42797642">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择优转入</w:t>
            </w:r>
          </w:p>
          <w:p w14:paraId="4F88D7C6">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color w:val="FF0000"/>
                <w:spacing w:val="-2"/>
                <w:sz w:val="28"/>
                <w:szCs w:val="28"/>
                <w:lang w:val="en-US" w:eastAsia="zh-CN"/>
              </w:rPr>
              <w:t>所有专业按照可接纳人数笔试排名3:1比例进入面试环节</w:t>
            </w:r>
            <w:r>
              <w:rPr>
                <w:rFonts w:hint="eastAsia" w:ascii="Times New Roman" w:hAnsi="Times New Roman" w:eastAsia="仿宋_GB2312" w:cs="Times New Roman"/>
                <w:spacing w:val="-2"/>
                <w:sz w:val="28"/>
                <w:szCs w:val="28"/>
                <w:lang w:eastAsia="zh-CN"/>
              </w:rPr>
              <w:t>）</w:t>
            </w:r>
          </w:p>
        </w:tc>
      </w:tr>
      <w:tr w14:paraId="25154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1156" w:type="dxa"/>
            <w:vAlign w:val="center"/>
          </w:tcPr>
          <w:p w14:paraId="040EBFF0">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动物医学</w:t>
            </w:r>
          </w:p>
        </w:tc>
        <w:tc>
          <w:tcPr>
            <w:tcW w:w="933" w:type="dxa"/>
            <w:tcBorders>
              <w:right w:val="single" w:color="auto" w:sz="4" w:space="0"/>
            </w:tcBorders>
            <w:vAlign w:val="center"/>
          </w:tcPr>
          <w:p w14:paraId="478CD167">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14"/>
                <w:sz w:val="28"/>
                <w:szCs w:val="28"/>
                <w:lang w:val="en-US" w:eastAsia="zh-CN"/>
              </w:rPr>
            </w:pPr>
            <w:r>
              <w:rPr>
                <w:rFonts w:hint="eastAsia" w:ascii="Times New Roman" w:hAnsi="Times New Roman" w:eastAsia="仿宋_GB2312" w:cs="Times New Roman"/>
                <w:spacing w:val="-14"/>
                <w:sz w:val="28"/>
                <w:szCs w:val="28"/>
                <w:lang w:val="en-US" w:eastAsia="zh-CN"/>
              </w:rPr>
              <w:t>5</w:t>
            </w:r>
          </w:p>
        </w:tc>
        <w:tc>
          <w:tcPr>
            <w:tcW w:w="4515" w:type="dxa"/>
            <w:vMerge w:val="continue"/>
            <w:tcBorders>
              <w:left w:val="single" w:color="auto" w:sz="4" w:space="0"/>
              <w:bottom w:val="single" w:color="auto" w:sz="4" w:space="0"/>
              <w:right w:val="single" w:color="auto" w:sz="4" w:space="0"/>
            </w:tcBorders>
            <w:vAlign w:val="center"/>
          </w:tcPr>
          <w:p w14:paraId="4F7C41B3">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pacing w:val="-1"/>
                <w:sz w:val="28"/>
                <w:szCs w:val="28"/>
              </w:rPr>
            </w:pPr>
          </w:p>
        </w:tc>
        <w:tc>
          <w:tcPr>
            <w:tcW w:w="2218" w:type="dxa"/>
            <w:vMerge w:val="continue"/>
            <w:tcBorders>
              <w:left w:val="single" w:color="auto" w:sz="4" w:space="0"/>
              <w:right w:val="single" w:color="auto" w:sz="4" w:space="0"/>
            </w:tcBorders>
            <w:vAlign w:val="center"/>
          </w:tcPr>
          <w:p w14:paraId="76D227F1">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eastAsia="zh-CN"/>
              </w:rPr>
            </w:pPr>
          </w:p>
        </w:tc>
      </w:tr>
      <w:tr w14:paraId="09363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1156" w:type="dxa"/>
            <w:vAlign w:val="center"/>
          </w:tcPr>
          <w:p w14:paraId="388A1225">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护理</w:t>
            </w:r>
          </w:p>
        </w:tc>
        <w:tc>
          <w:tcPr>
            <w:tcW w:w="933" w:type="dxa"/>
            <w:vAlign w:val="center"/>
          </w:tcPr>
          <w:p w14:paraId="3B73BAFA">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pacing w:val="-14"/>
                <w:sz w:val="28"/>
                <w:szCs w:val="28"/>
                <w:lang w:val="en-US" w:eastAsia="zh-CN"/>
              </w:rPr>
              <w:t>10</w:t>
            </w:r>
          </w:p>
        </w:tc>
        <w:tc>
          <w:tcPr>
            <w:tcW w:w="4515" w:type="dxa"/>
            <w:vMerge w:val="restart"/>
            <w:tcBorders>
              <w:top w:val="single" w:color="auto" w:sz="4" w:space="0"/>
              <w:bottom w:val="single" w:color="auto" w:sz="4" w:space="0"/>
              <w:right w:val="single" w:color="auto" w:sz="4" w:space="0"/>
            </w:tcBorders>
            <w:vAlign w:val="center"/>
          </w:tcPr>
          <w:p w14:paraId="5BCD29E3">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pacing w:val="-14"/>
                <w:sz w:val="28"/>
                <w:szCs w:val="28"/>
              </w:rPr>
            </w:pPr>
            <w:r>
              <w:rPr>
                <w:rFonts w:hint="default" w:ascii="Times New Roman" w:hAnsi="Times New Roman" w:eastAsia="仿宋_GB2312" w:cs="Times New Roman"/>
                <w:spacing w:val="1"/>
                <w:sz w:val="28"/>
                <w:szCs w:val="28"/>
              </w:rPr>
              <w:t>符合学院规定</w:t>
            </w:r>
            <w:r>
              <w:rPr>
                <w:rFonts w:hint="default" w:ascii="Times New Roman" w:hAnsi="Times New Roman" w:eastAsia="仿宋_GB2312" w:cs="Times New Roman"/>
                <w:spacing w:val="-14"/>
                <w:sz w:val="28"/>
                <w:szCs w:val="28"/>
              </w:rPr>
              <w:t>：</w:t>
            </w:r>
          </w:p>
          <w:p w14:paraId="10B07013">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pacing w:val="-12"/>
                <w:sz w:val="28"/>
                <w:szCs w:val="28"/>
              </w:rPr>
            </w:pP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
                <w:sz w:val="28"/>
                <w:szCs w:val="28"/>
              </w:rPr>
              <w:t>1）五官端正，身</w:t>
            </w:r>
            <w:r>
              <w:rPr>
                <w:rFonts w:hint="default" w:ascii="Times New Roman" w:hAnsi="Times New Roman" w:eastAsia="仿宋_GB2312" w:cs="Times New Roman"/>
                <w:spacing w:val="-2"/>
                <w:sz w:val="28"/>
                <w:szCs w:val="28"/>
              </w:rPr>
              <w:t>体健康，有良好的心理素质，体型匀</w:t>
            </w:r>
            <w:r>
              <w:rPr>
                <w:rFonts w:hint="default" w:ascii="Times New Roman" w:hAnsi="Times New Roman" w:eastAsia="仿宋_GB2312" w:cs="Times New Roman"/>
                <w:spacing w:val="1"/>
                <w:sz w:val="28"/>
                <w:szCs w:val="28"/>
              </w:rPr>
              <w:t>称，举止端庄</w:t>
            </w:r>
            <w:r>
              <w:rPr>
                <w:rFonts w:hint="default" w:ascii="Times New Roman" w:hAnsi="Times New Roman" w:eastAsia="仿宋_GB2312" w:cs="Times New Roman"/>
                <w:spacing w:val="-12"/>
                <w:sz w:val="28"/>
                <w:szCs w:val="28"/>
              </w:rPr>
              <w:t>；</w:t>
            </w:r>
          </w:p>
          <w:p w14:paraId="444CBD73">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pacing w:val="-39"/>
                <w:sz w:val="28"/>
                <w:szCs w:val="28"/>
              </w:rPr>
            </w:pPr>
            <w:r>
              <w:rPr>
                <w:rFonts w:hint="default" w:ascii="Times New Roman" w:hAnsi="Times New Roman" w:eastAsia="仿宋_GB2312" w:cs="Times New Roman"/>
                <w:spacing w:val="-12"/>
                <w:sz w:val="28"/>
                <w:szCs w:val="28"/>
              </w:rPr>
              <w:t>（</w:t>
            </w:r>
            <w:r>
              <w:rPr>
                <w:rFonts w:hint="default" w:ascii="Times New Roman" w:hAnsi="Times New Roman" w:eastAsia="仿宋_GB2312" w:cs="Times New Roman"/>
                <w:spacing w:val="1"/>
                <w:sz w:val="28"/>
                <w:szCs w:val="28"/>
              </w:rPr>
              <w:t>2）具有良好职业</w:t>
            </w:r>
            <w:r>
              <w:rPr>
                <w:rFonts w:hint="default" w:ascii="Times New Roman" w:hAnsi="Times New Roman" w:eastAsia="仿宋_GB2312" w:cs="Times New Roman"/>
                <w:spacing w:val="-2"/>
                <w:sz w:val="28"/>
                <w:szCs w:val="28"/>
              </w:rPr>
              <w:t>道德和人文素养，乐于奉献，</w:t>
            </w:r>
            <w:bookmarkStart w:id="0" w:name="_GoBack"/>
            <w:bookmarkEnd w:id="0"/>
            <w:r>
              <w:rPr>
                <w:rFonts w:hint="default" w:ascii="Times New Roman" w:hAnsi="Times New Roman" w:eastAsia="仿宋_GB2312" w:cs="Times New Roman"/>
                <w:spacing w:val="-2"/>
                <w:sz w:val="28"/>
                <w:szCs w:val="28"/>
              </w:rPr>
              <w:t>品德高</w:t>
            </w:r>
            <w:r>
              <w:rPr>
                <w:rFonts w:hint="default" w:ascii="Times New Roman" w:hAnsi="Times New Roman" w:eastAsia="仿宋_GB2312" w:cs="Times New Roman"/>
                <w:spacing w:val="-1"/>
                <w:sz w:val="28"/>
                <w:szCs w:val="28"/>
              </w:rPr>
              <w:t>尚</w:t>
            </w:r>
            <w:r>
              <w:rPr>
                <w:rFonts w:hint="default" w:ascii="Times New Roman" w:hAnsi="Times New Roman" w:eastAsia="仿宋_GB2312" w:cs="Times New Roman"/>
                <w:spacing w:val="-39"/>
                <w:sz w:val="28"/>
                <w:szCs w:val="28"/>
              </w:rPr>
              <w:t>；</w:t>
            </w:r>
          </w:p>
          <w:p w14:paraId="28AEEE00">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pacing w:val="-1"/>
                <w:sz w:val="28"/>
                <w:szCs w:val="28"/>
                <w:lang w:eastAsia="zh-CN"/>
              </w:rPr>
              <w:t>（</w:t>
            </w:r>
            <w:r>
              <w:rPr>
                <w:rFonts w:hint="eastAsia" w:ascii="Times New Roman" w:hAnsi="Times New Roman" w:eastAsia="仿宋_GB2312" w:cs="Times New Roman"/>
                <w:spacing w:val="-1"/>
                <w:sz w:val="28"/>
                <w:szCs w:val="28"/>
                <w:lang w:val="en-US" w:eastAsia="zh-CN"/>
              </w:rPr>
              <w:t>3</w:t>
            </w:r>
            <w:r>
              <w:rPr>
                <w:rFonts w:hint="eastAsia" w:ascii="Times New Roman" w:hAnsi="Times New Roman" w:eastAsia="仿宋_GB2312" w:cs="Times New Roman"/>
                <w:spacing w:val="-1"/>
                <w:sz w:val="28"/>
                <w:szCs w:val="28"/>
                <w:lang w:eastAsia="zh-CN"/>
              </w:rPr>
              <w:t>）</w:t>
            </w:r>
            <w:r>
              <w:rPr>
                <w:rFonts w:hint="default" w:ascii="Times New Roman" w:hAnsi="Times New Roman" w:eastAsia="仿宋_GB2312" w:cs="Times New Roman"/>
                <w:spacing w:val="-1"/>
                <w:sz w:val="28"/>
                <w:szCs w:val="28"/>
              </w:rPr>
              <w:t>学习态度端正，吃苦耐劳；</w:t>
            </w:r>
            <w:r>
              <w:rPr>
                <w:rFonts w:hint="default" w:ascii="Times New Roman" w:hAnsi="Times New Roman" w:eastAsia="仿宋_GB2312" w:cs="Times New Roman"/>
                <w:sz w:val="28"/>
                <w:szCs w:val="28"/>
              </w:rPr>
              <w:t xml:space="preserve"> </w:t>
            </w:r>
          </w:p>
          <w:p w14:paraId="3593B342">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（4）视力要求：眼球无变形，无色</w:t>
            </w:r>
            <w:r>
              <w:rPr>
                <w:rFonts w:hint="default" w:ascii="Times New Roman" w:hAnsi="Times New Roman" w:eastAsia="仿宋_GB2312" w:cs="Times New Roman"/>
                <w:spacing w:val="-2"/>
                <w:sz w:val="28"/>
                <w:szCs w:val="28"/>
              </w:rPr>
              <w:t>盲、色弱、斜视。</w:t>
            </w:r>
          </w:p>
        </w:tc>
        <w:tc>
          <w:tcPr>
            <w:tcW w:w="2218" w:type="dxa"/>
            <w:vMerge w:val="continue"/>
            <w:tcBorders>
              <w:left w:val="single" w:color="auto" w:sz="4" w:space="0"/>
              <w:right w:val="single" w:color="auto" w:sz="4" w:space="0"/>
            </w:tcBorders>
            <w:vAlign w:val="center"/>
          </w:tcPr>
          <w:p w14:paraId="23686F85">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eastAsia="zh-CN"/>
              </w:rPr>
            </w:pPr>
          </w:p>
        </w:tc>
      </w:tr>
      <w:tr w14:paraId="7F39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6" w:type="dxa"/>
            <w:vAlign w:val="center"/>
          </w:tcPr>
          <w:p w14:paraId="13C66104">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z w:val="28"/>
                <w:szCs w:val="28"/>
                <w:lang w:val="en-US" w:eastAsia="zh-CN"/>
              </w:rPr>
              <w:t>老年保健与管理</w:t>
            </w:r>
          </w:p>
        </w:tc>
        <w:tc>
          <w:tcPr>
            <w:tcW w:w="933" w:type="dxa"/>
            <w:vAlign w:val="center"/>
          </w:tcPr>
          <w:p w14:paraId="178F646B">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14"/>
                <w:sz w:val="28"/>
                <w:szCs w:val="28"/>
                <w:lang w:val="en-US" w:eastAsia="zh-CN"/>
              </w:rPr>
            </w:pPr>
            <w:r>
              <w:rPr>
                <w:rFonts w:hint="default" w:ascii="Times New Roman" w:hAnsi="Times New Roman" w:eastAsia="仿宋_GB2312" w:cs="Times New Roman"/>
                <w:spacing w:val="-14"/>
                <w:sz w:val="28"/>
                <w:szCs w:val="28"/>
                <w:lang w:val="en-US" w:eastAsia="zh-CN"/>
              </w:rPr>
              <w:t>5</w:t>
            </w:r>
          </w:p>
        </w:tc>
        <w:tc>
          <w:tcPr>
            <w:tcW w:w="4515" w:type="dxa"/>
            <w:vMerge w:val="continue"/>
            <w:tcBorders>
              <w:top w:val="single" w:color="auto" w:sz="4" w:space="0"/>
              <w:bottom w:val="single" w:color="auto" w:sz="4" w:space="0"/>
              <w:right w:val="single" w:color="auto" w:sz="4" w:space="0"/>
            </w:tcBorders>
            <w:vAlign w:val="center"/>
          </w:tcPr>
          <w:p w14:paraId="5719C4A6">
            <w:pPr>
              <w:pStyle w:val="8"/>
              <w:keepNext w:val="0"/>
              <w:keepLines w:val="0"/>
              <w:pageBreakBefore w:val="0"/>
              <w:widowControl w:val="0"/>
              <w:kinsoku/>
              <w:wordWrap/>
              <w:overflowPunct/>
              <w:topLinePunct w:val="0"/>
              <w:autoSpaceDE/>
              <w:autoSpaceDN/>
              <w:bidi w:val="0"/>
              <w:adjustRightInd/>
              <w:snapToGrid/>
              <w:spacing w:line="440" w:lineRule="exact"/>
              <w:ind w:left="0" w:right="0" w:firstLine="2"/>
              <w:jc w:val="both"/>
              <w:textAlignment w:val="auto"/>
              <w:rPr>
                <w:rFonts w:hint="default" w:ascii="Times New Roman" w:hAnsi="Times New Roman" w:eastAsia="仿宋_GB2312" w:cs="Times New Roman"/>
                <w:spacing w:val="1"/>
                <w:sz w:val="28"/>
                <w:szCs w:val="28"/>
              </w:rPr>
            </w:pPr>
          </w:p>
        </w:tc>
        <w:tc>
          <w:tcPr>
            <w:tcW w:w="2218" w:type="dxa"/>
            <w:vMerge w:val="continue"/>
            <w:tcBorders>
              <w:left w:val="single" w:color="auto" w:sz="4" w:space="0"/>
              <w:right w:val="single" w:color="auto" w:sz="4" w:space="0"/>
            </w:tcBorders>
            <w:vAlign w:val="center"/>
          </w:tcPr>
          <w:p w14:paraId="5BEB0F94">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pacing w:val="-2"/>
                <w:sz w:val="28"/>
                <w:szCs w:val="28"/>
              </w:rPr>
            </w:pPr>
          </w:p>
        </w:tc>
      </w:tr>
      <w:tr w14:paraId="1D4C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156" w:type="dxa"/>
            <w:vAlign w:val="center"/>
          </w:tcPr>
          <w:p w14:paraId="2D86A303">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rPr>
              <w:t>中医养生</w:t>
            </w:r>
            <w:r>
              <w:rPr>
                <w:rFonts w:hint="default" w:ascii="Times New Roman" w:hAnsi="Times New Roman" w:eastAsia="仿宋_GB2312" w:cs="Times New Roman"/>
                <w:spacing w:val="-6"/>
                <w:sz w:val="28"/>
                <w:szCs w:val="28"/>
              </w:rPr>
              <w:t>保健</w:t>
            </w:r>
          </w:p>
        </w:tc>
        <w:tc>
          <w:tcPr>
            <w:tcW w:w="933" w:type="dxa"/>
            <w:vAlign w:val="center"/>
          </w:tcPr>
          <w:p w14:paraId="728C0DF1">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14"/>
                <w:sz w:val="28"/>
                <w:szCs w:val="28"/>
                <w:lang w:val="en-US" w:eastAsia="zh-CN"/>
              </w:rPr>
              <w:t>5</w:t>
            </w:r>
          </w:p>
        </w:tc>
        <w:tc>
          <w:tcPr>
            <w:tcW w:w="4515" w:type="dxa"/>
            <w:vMerge w:val="continue"/>
            <w:tcBorders>
              <w:top w:val="single" w:color="auto" w:sz="4" w:space="0"/>
              <w:bottom w:val="single" w:color="auto" w:sz="4" w:space="0"/>
              <w:right w:val="single" w:color="auto" w:sz="4" w:space="0"/>
            </w:tcBorders>
            <w:vAlign w:val="center"/>
          </w:tcPr>
          <w:p w14:paraId="37DCFE26">
            <w:pPr>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p>
        </w:tc>
        <w:tc>
          <w:tcPr>
            <w:tcW w:w="2218" w:type="dxa"/>
            <w:vMerge w:val="continue"/>
            <w:tcBorders>
              <w:left w:val="single" w:color="auto" w:sz="4" w:space="0"/>
              <w:right w:val="single" w:color="auto" w:sz="4" w:space="0"/>
            </w:tcBorders>
            <w:vAlign w:val="center"/>
          </w:tcPr>
          <w:p w14:paraId="2BC8C833">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p>
        </w:tc>
      </w:tr>
      <w:tr w14:paraId="4FBC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156" w:type="dxa"/>
            <w:vAlign w:val="center"/>
          </w:tcPr>
          <w:p w14:paraId="5C17DD40">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应用化工</w:t>
            </w:r>
            <w:r>
              <w:rPr>
                <w:rFonts w:hint="default" w:ascii="Times New Roman" w:hAnsi="Times New Roman" w:eastAsia="仿宋_GB2312" w:cs="Times New Roman"/>
                <w:spacing w:val="-6"/>
                <w:sz w:val="28"/>
                <w:szCs w:val="28"/>
              </w:rPr>
              <w:t>技术</w:t>
            </w:r>
          </w:p>
        </w:tc>
        <w:tc>
          <w:tcPr>
            <w:tcW w:w="933" w:type="dxa"/>
            <w:vAlign w:val="center"/>
          </w:tcPr>
          <w:p w14:paraId="13944FA9">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pacing w:val="-5"/>
                <w:sz w:val="28"/>
                <w:szCs w:val="28"/>
                <w:lang w:val="en-US" w:eastAsia="zh-CN"/>
              </w:rPr>
              <w:t>15</w:t>
            </w:r>
          </w:p>
        </w:tc>
        <w:tc>
          <w:tcPr>
            <w:tcW w:w="4515" w:type="dxa"/>
            <w:tcBorders>
              <w:top w:val="single" w:color="auto" w:sz="4" w:space="0"/>
              <w:right w:val="single" w:color="auto" w:sz="4" w:space="0"/>
            </w:tcBorders>
            <w:vAlign w:val="center"/>
          </w:tcPr>
          <w:p w14:paraId="775D368F">
            <w:pPr>
              <w:pStyle w:val="8"/>
              <w:keepNext w:val="0"/>
              <w:keepLines w:val="0"/>
              <w:pageBreakBefore w:val="0"/>
              <w:widowControl w:val="0"/>
              <w:kinsoku/>
              <w:wordWrap/>
              <w:overflowPunct/>
              <w:topLinePunct w:val="0"/>
              <w:autoSpaceDE/>
              <w:autoSpaceDN/>
              <w:bidi w:val="0"/>
              <w:adjustRightInd/>
              <w:snapToGrid/>
              <w:spacing w:line="440" w:lineRule="exact"/>
              <w:ind w:left="0" w:right="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符合学院规定</w:t>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4"/>
                <w:sz w:val="28"/>
                <w:szCs w:val="28"/>
              </w:rPr>
              <w:br w:type="textWrapping"/>
            </w:r>
            <w:r>
              <w:rPr>
                <w:rFonts w:hint="default" w:ascii="Times New Roman" w:hAnsi="Times New Roman" w:eastAsia="仿宋_GB2312" w:cs="Times New Roman"/>
                <w:spacing w:val="-14"/>
                <w:sz w:val="28"/>
                <w:szCs w:val="28"/>
              </w:rPr>
              <w:t>（</w:t>
            </w:r>
            <w:r>
              <w:rPr>
                <w:rFonts w:hint="default" w:ascii="Times New Roman" w:hAnsi="Times New Roman" w:eastAsia="仿宋_GB2312" w:cs="Times New Roman"/>
                <w:spacing w:val="1"/>
                <w:sz w:val="28"/>
                <w:szCs w:val="28"/>
              </w:rPr>
              <w:t>1）身体健康，举止端庄</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2）具有良好职业道德和</w:t>
            </w:r>
            <w:r>
              <w:rPr>
                <w:rFonts w:hint="default" w:ascii="Times New Roman" w:hAnsi="Times New Roman" w:eastAsia="仿宋_GB2312" w:cs="Times New Roman"/>
                <w:spacing w:val="-9"/>
                <w:sz w:val="28"/>
                <w:szCs w:val="28"/>
              </w:rPr>
              <w:t>人文素养，乐于奉献，品德高尚</w:t>
            </w:r>
            <w:r>
              <w:rPr>
                <w:rFonts w:hint="default" w:ascii="Times New Roman" w:hAnsi="Times New Roman" w:eastAsia="仿宋_GB2312" w:cs="Times New Roman"/>
                <w:spacing w:val="-60"/>
                <w:w w:val="93"/>
                <w:sz w:val="28"/>
                <w:szCs w:val="28"/>
              </w:rPr>
              <w:t>；</w:t>
            </w:r>
            <w:r>
              <w:rPr>
                <w:rFonts w:hint="default" w:ascii="Times New Roman" w:hAnsi="Times New Roman" w:eastAsia="仿宋_GB2312" w:cs="Times New Roman"/>
                <w:spacing w:val="-60"/>
                <w:w w:val="93"/>
                <w:sz w:val="28"/>
                <w:szCs w:val="28"/>
              </w:rPr>
              <w:br w:type="textWrapping"/>
            </w:r>
            <w:r>
              <w:rPr>
                <w:rFonts w:hint="default" w:ascii="Times New Roman" w:hAnsi="Times New Roman" w:eastAsia="仿宋_GB2312" w:cs="Times New Roman"/>
                <w:spacing w:val="-13"/>
                <w:sz w:val="28"/>
                <w:szCs w:val="28"/>
              </w:rPr>
              <w:t>（3）</w:t>
            </w:r>
            <w:r>
              <w:rPr>
                <w:rFonts w:hint="default" w:ascii="Times New Roman" w:hAnsi="Times New Roman" w:eastAsia="仿宋_GB2312" w:cs="Times New Roman"/>
                <w:spacing w:val="1"/>
                <w:sz w:val="28"/>
                <w:szCs w:val="28"/>
              </w:rPr>
              <w:t>学习态度端正，吃苦耐劳</w:t>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3"/>
                <w:sz w:val="28"/>
                <w:szCs w:val="28"/>
              </w:rPr>
              <w:br w:type="textWrapping"/>
            </w:r>
            <w:r>
              <w:rPr>
                <w:rFonts w:hint="default" w:ascii="Times New Roman" w:hAnsi="Times New Roman" w:eastAsia="仿宋_GB2312" w:cs="Times New Roman"/>
                <w:spacing w:val="-13"/>
                <w:sz w:val="28"/>
                <w:szCs w:val="28"/>
              </w:rPr>
              <w:t>（</w:t>
            </w:r>
            <w:r>
              <w:rPr>
                <w:rFonts w:hint="default" w:ascii="Times New Roman" w:hAnsi="Times New Roman" w:eastAsia="仿宋_GB2312" w:cs="Times New Roman"/>
                <w:spacing w:val="1"/>
                <w:sz w:val="28"/>
                <w:szCs w:val="28"/>
              </w:rPr>
              <w:t>4）理</w:t>
            </w:r>
            <w:r>
              <w:rPr>
                <w:rFonts w:hint="default" w:ascii="Times New Roman" w:hAnsi="Times New Roman" w:eastAsia="仿宋_GB2312" w:cs="Times New Roman"/>
                <w:spacing w:val="-3"/>
                <w:sz w:val="28"/>
                <w:szCs w:val="28"/>
              </w:rPr>
              <w:t>工类优先。</w:t>
            </w:r>
          </w:p>
        </w:tc>
        <w:tc>
          <w:tcPr>
            <w:tcW w:w="2218" w:type="dxa"/>
            <w:vMerge w:val="continue"/>
            <w:tcBorders>
              <w:left w:val="single" w:color="auto" w:sz="4" w:space="0"/>
              <w:bottom w:val="single" w:color="auto" w:sz="4" w:space="0"/>
              <w:right w:val="single" w:color="auto" w:sz="4" w:space="0"/>
            </w:tcBorders>
            <w:vAlign w:val="center"/>
          </w:tcPr>
          <w:p w14:paraId="794500D6">
            <w:pPr>
              <w:pStyle w:val="8"/>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default" w:ascii="Times New Roman" w:hAnsi="Times New Roman" w:eastAsia="仿宋_GB2312" w:cs="Times New Roman"/>
                <w:sz w:val="28"/>
                <w:szCs w:val="28"/>
              </w:rPr>
            </w:pPr>
          </w:p>
        </w:tc>
      </w:tr>
    </w:tbl>
    <w:p w14:paraId="1464DE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相</w:t>
      </w:r>
      <w:r>
        <w:rPr>
          <w:rFonts w:hint="default" w:ascii="Times New Roman" w:hAnsi="Times New Roman" w:eastAsia="黑体" w:cs="Times New Roman"/>
          <w:sz w:val="32"/>
          <w:szCs w:val="32"/>
        </w:rPr>
        <w:t>关说明</w:t>
      </w:r>
    </w:p>
    <w:p w14:paraId="07C1C5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1.申请转专业的学生</w:t>
      </w:r>
      <w:r>
        <w:rPr>
          <w:rFonts w:hint="eastAsia" w:ascii="Times New Roman" w:hAnsi="Times New Roman" w:eastAsia="仿宋_GB2312" w:cs="Times New Roman"/>
          <w:sz w:val="32"/>
          <w:szCs w:val="32"/>
          <w:lang w:val="en-US" w:eastAsia="zh-CN"/>
        </w:rPr>
        <w:t>请</w:t>
      </w:r>
      <w:r>
        <w:rPr>
          <w:rFonts w:hint="default" w:ascii="Times New Roman" w:hAnsi="Times New Roman" w:eastAsia="仿宋_GB2312" w:cs="Times New Roman"/>
          <w:sz w:val="32"/>
          <w:szCs w:val="32"/>
        </w:rPr>
        <w:t>密切关注</w:t>
      </w:r>
      <w:r>
        <w:rPr>
          <w:rFonts w:hint="eastAsia" w:ascii="Times New Roman" w:hAnsi="Times New Roman" w:eastAsia="仿宋_GB2312" w:cs="Times New Roman"/>
          <w:sz w:val="32"/>
          <w:szCs w:val="32"/>
          <w:lang w:val="en-US" w:eastAsia="zh-CN"/>
        </w:rPr>
        <w:t>学院学生处</w:t>
      </w:r>
      <w:r>
        <w:rPr>
          <w:rFonts w:hint="default"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或辅导员群</w:t>
      </w:r>
      <w:r>
        <w:rPr>
          <w:rFonts w:hint="default" w:ascii="Times New Roman" w:hAnsi="Times New Roman" w:eastAsia="仿宋_GB2312" w:cs="Times New Roman"/>
          <w:sz w:val="32"/>
          <w:szCs w:val="32"/>
        </w:rPr>
        <w:t>的公告信息，以免错过笔试、面试时间。</w:t>
      </w:r>
    </w:p>
    <w:p w14:paraId="5E4BC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2.学生必须在规定时间到指定地点参加笔试和面试，笔试、面试时务必带上学生证、身份证等有效证件。</w:t>
      </w:r>
    </w:p>
    <w:p w14:paraId="3608842F">
      <w:pPr>
        <w:bidi w:val="0"/>
        <w:rPr>
          <w:rFonts w:hint="default" w:ascii="Times New Roman" w:hAnsi="Times New Roman" w:eastAsia="仿宋_GB2312" w:cs="Times New Roman"/>
          <w:sz w:val="32"/>
          <w:szCs w:val="32"/>
          <w:lang w:val="en-US" w:eastAsia="zh-CN"/>
        </w:rPr>
      </w:pPr>
    </w:p>
    <w:p w14:paraId="124F06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rPr>
      </w:pPr>
    </w:p>
    <w:p w14:paraId="3CF6530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rPr>
      </w:pPr>
    </w:p>
    <w:p w14:paraId="647259A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rPr>
      </w:pPr>
    </w:p>
    <w:p w14:paraId="7C51833C">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生物与健康系</w:t>
      </w:r>
      <w:r>
        <w:rPr>
          <w:rFonts w:hint="default" w:ascii="Times New Roman" w:hAnsi="Times New Roman" w:eastAsia="仿宋_GB2312" w:cs="Times New Roman"/>
          <w:b w:val="0"/>
          <w:bCs w:val="0"/>
          <w:sz w:val="32"/>
          <w:szCs w:val="32"/>
          <w:lang w:val="en-US" w:eastAsia="zh-CN"/>
        </w:rPr>
        <w:t xml:space="preserve">      </w:t>
      </w:r>
    </w:p>
    <w:p w14:paraId="32ED5EBC">
      <w:pPr>
        <w:wordWrap w:val="0"/>
        <w:jc w:val="righ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日</w:t>
      </w:r>
      <w:r>
        <w:rPr>
          <w:rFonts w:hint="default" w:ascii="Times New Roman" w:hAnsi="Times New Roman" w:eastAsia="仿宋_GB2312" w:cs="Times New Roman"/>
          <w:b w:val="0"/>
          <w:bCs w:val="0"/>
          <w:sz w:val="32"/>
          <w:szCs w:val="32"/>
          <w:lang w:val="en-US" w:eastAsia="zh-CN"/>
        </w:rPr>
        <w:t xml:space="preserve">    </w:t>
      </w:r>
    </w:p>
    <w:p w14:paraId="28B3E7BD">
      <w:pPr>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TRlOTBkODllZjQ1OTIwN2IxYTk2YmY4M2FlNWQifQ=="/>
  </w:docVars>
  <w:rsids>
    <w:rsidRoot w:val="00000000"/>
    <w:rsid w:val="0A7926FC"/>
    <w:rsid w:val="0C8268AA"/>
    <w:rsid w:val="0D2C49BD"/>
    <w:rsid w:val="1D1907E7"/>
    <w:rsid w:val="1E060B85"/>
    <w:rsid w:val="205B3B28"/>
    <w:rsid w:val="23072480"/>
    <w:rsid w:val="269623CB"/>
    <w:rsid w:val="26CF1507"/>
    <w:rsid w:val="2CC00F57"/>
    <w:rsid w:val="2E073C7C"/>
    <w:rsid w:val="2E9B6621"/>
    <w:rsid w:val="31A31FD8"/>
    <w:rsid w:val="35A03D6D"/>
    <w:rsid w:val="39363667"/>
    <w:rsid w:val="3CCD3FA3"/>
    <w:rsid w:val="3F140AFA"/>
    <w:rsid w:val="422B58D2"/>
    <w:rsid w:val="450135E5"/>
    <w:rsid w:val="482C5796"/>
    <w:rsid w:val="548C0D5C"/>
    <w:rsid w:val="6B9D486E"/>
    <w:rsid w:val="72266E83"/>
    <w:rsid w:val="7965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等线" w:hAnsi="等线" w:eastAsia="等线" w:cs="等线"/>
      <w:sz w:val="28"/>
      <w:szCs w:val="28"/>
      <w:lang w:val="en-US" w:eastAsia="en-US" w:bidi="ar-SA"/>
    </w:rPr>
  </w:style>
  <w:style w:type="paragraph" w:styleId="4">
    <w:name w:val="Normal (Web)"/>
    <w:basedOn w:val="1"/>
    <w:autoRedefine/>
    <w:qFormat/>
    <w:uiPriority w:val="0"/>
    <w:pPr>
      <w:spacing w:before="100" w:beforeAutospacing="1" w:after="100" w:afterAutospacing="1"/>
      <w:jc w:val="left"/>
    </w:pPr>
    <w:rPr>
      <w:rFonts w:cs="Times New Roman"/>
      <w:kern w:val="0"/>
      <w:sz w:val="24"/>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1750</Words>
  <Characters>1825</Characters>
  <Lines>0</Lines>
  <Paragraphs>0</Paragraphs>
  <TotalTime>10</TotalTime>
  <ScaleCrop>false</ScaleCrop>
  <LinksUpToDate>false</LinksUpToDate>
  <CharactersWithSpaces>1837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2025-12-05T00:58:00Z</dcterms:created>
  <dc:creator>admin</dc:creator>
  <cp:lastModifiedBy>企业用户_259260819</cp:lastModifiedBy>
  <cp:lastPrinted>2025-12-09T07:03:45Z</cp:lastPrinted>
  <dcterms:modified xsi:type="dcterms:W3CDTF">2025-12-09T07:10:26Z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eyJoZGlkIjoiYTUyNmJmOTI5MGFlNGI0N2U1Y2VlY2YxYjlkZGI5NzIiLCJ1c2VySWQiOiIxNTQ4ODA2NzEyIn0=</vt:lpwstr>
  </property>
  <property fmtid="{D5CDD505-2E9C-101B-9397-08002B2CF9AE}" pid="4" name="ICV">
    <vt:lpwstr>76D92B87FB3C4CC4B89DED4EA56D79A1_13</vt:lpwstr>
  </property>
</Properties>
</file>